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1701"/>
        <w:gridCol w:w="1865"/>
        <w:gridCol w:w="3928"/>
      </w:tblGrid>
      <w:tr w:rsidR="00E41C5F" w:rsidRPr="00295135" w14:paraId="5C590AFC" w14:textId="77777777" w:rsidTr="00E41C5F">
        <w:trPr>
          <w:jc w:val="center"/>
        </w:trPr>
        <w:tc>
          <w:tcPr>
            <w:tcW w:w="10455" w:type="dxa"/>
            <w:gridSpan w:val="4"/>
            <w:shd w:val="clear" w:color="auto" w:fill="auto"/>
          </w:tcPr>
          <w:p w14:paraId="25DAF796" w14:textId="128A581D" w:rsidR="00E41C5F" w:rsidRPr="00E41C5F" w:rsidRDefault="00E41C5F" w:rsidP="00345E33">
            <w:pPr>
              <w:spacing w:after="120" w:line="264" w:lineRule="auto"/>
              <w:jc w:val="center"/>
              <w:rPr>
                <w:b/>
              </w:rPr>
            </w:pPr>
            <w:r w:rsidRPr="00E41C5F">
              <w:rPr>
                <w:rFonts w:cstheme="minorHAnsi"/>
                <w:b/>
                <w:sz w:val="36"/>
              </w:rPr>
              <w:t>(</w:t>
            </w:r>
            <w:r w:rsidR="00E259D3">
              <w:rPr>
                <w:rFonts w:cstheme="minorHAnsi"/>
                <w:b/>
                <w:sz w:val="36"/>
              </w:rPr>
              <w:t>Sativex</w:t>
            </w:r>
            <w:r w:rsidRPr="00E41C5F">
              <w:rPr>
                <w:rFonts w:cstheme="minorHAnsi"/>
                <w:b/>
                <w:sz w:val="36"/>
              </w:rPr>
              <w:t>) for patients within (Service Name)</w:t>
            </w:r>
          </w:p>
        </w:tc>
      </w:tr>
      <w:tr w:rsidR="001F2FFE" w:rsidRPr="00295135" w14:paraId="2BBEC1D0" w14:textId="77777777" w:rsidTr="00B37733">
        <w:trPr>
          <w:trHeight w:val="2370"/>
          <w:jc w:val="center"/>
        </w:trPr>
        <w:tc>
          <w:tcPr>
            <w:tcW w:w="2961" w:type="dxa"/>
            <w:shd w:val="clear" w:color="auto" w:fill="F2F2F2"/>
          </w:tcPr>
          <w:p w14:paraId="7B0A5D05" w14:textId="77777777" w:rsidR="001F2FFE" w:rsidRPr="00295135" w:rsidRDefault="001F2FFE" w:rsidP="00E337B7">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1. Background</w:t>
            </w:r>
          </w:p>
        </w:tc>
        <w:tc>
          <w:tcPr>
            <w:tcW w:w="7494" w:type="dxa"/>
            <w:gridSpan w:val="3"/>
            <w:shd w:val="clear" w:color="auto" w:fill="auto"/>
          </w:tcPr>
          <w:p w14:paraId="422DF253" w14:textId="247E0CF6" w:rsidR="00E337B7" w:rsidRDefault="00B37733" w:rsidP="00B37733">
            <w:pPr>
              <w:widowControl w:val="0"/>
              <w:autoSpaceDE w:val="0"/>
              <w:autoSpaceDN w:val="0"/>
              <w:adjustRightInd w:val="0"/>
              <w:spacing w:after="0" w:line="240" w:lineRule="auto"/>
              <w:rPr>
                <w:rFonts w:cstheme="minorHAnsi"/>
              </w:rPr>
            </w:pPr>
            <w:r>
              <w:rPr>
                <w:rFonts w:cstheme="minorHAnsi"/>
              </w:rPr>
              <w:t>The</w:t>
            </w:r>
            <w:r w:rsidR="00787EF1">
              <w:rPr>
                <w:rFonts w:ascii="Arial" w:hAnsi="Arial" w:cs="Arial"/>
                <w:bCs/>
              </w:rPr>
              <w:t xml:space="preserve"> </w:t>
            </w:r>
            <w:r w:rsidR="00787EF1" w:rsidRPr="00787EF1">
              <w:rPr>
                <w:rFonts w:cstheme="minorHAnsi"/>
                <w:bCs/>
              </w:rPr>
              <w:t xml:space="preserve">NICE </w:t>
            </w:r>
            <w:r w:rsidR="00787EF1" w:rsidRPr="00787EF1">
              <w:rPr>
                <w:rFonts w:cstheme="minorHAnsi"/>
              </w:rPr>
              <w:t xml:space="preserve">guidance on </w:t>
            </w:r>
            <w:hyperlink r:id="rId11" w:history="1">
              <w:r w:rsidR="00787EF1" w:rsidRPr="00787EF1">
                <w:rPr>
                  <w:rStyle w:val="Hyperlink"/>
                  <w:rFonts w:cstheme="minorHAnsi"/>
                </w:rPr>
                <w:t>Cannabis based medicinal products</w:t>
              </w:r>
            </w:hyperlink>
            <w:r w:rsidR="00787EF1" w:rsidRPr="00787EF1">
              <w:rPr>
                <w:rFonts w:cstheme="minorHAnsi"/>
              </w:rPr>
              <w:fldChar w:fldCharType="begin"/>
            </w:r>
            <w:r w:rsidR="00345E33">
              <w:rPr>
                <w:rFonts w:cstheme="minorHAnsi"/>
              </w:rPr>
              <w:instrText xml:space="preserve"> ADDIN EN.CITE &lt;EndNote&gt;&lt;Cite&gt;&lt;Year&gt;2019&lt;/Year&gt;&lt;RecNum&gt;6167&lt;/RecNum&gt;&lt;DisplayText&gt;&lt;style face="superscript"&gt;2&lt;/style&gt;&lt;/DisplayText&gt;&lt;record&gt;&lt;rec-number&gt;6167&lt;/rec-number&gt;&lt;foreign-keys&gt;&lt;key app="EN" db-id="zdf0sfxp85z90beer07prw0deaavrtaz9ds5" timestamp="1609769215" guid="252121c0-db0d-46ed-a60b-ab335e550ae9"&gt;6167&lt;/key&gt;&lt;/foreign-keys&gt;&lt;ref-type name="Web Page"&gt;12&lt;/ref-type&gt;&lt;contributors&gt;&lt;/contributors&gt;&lt;titles&gt;&lt;title&gt;Cannabis-based medicinal products : guidance (NG144)&lt;/title&gt;&lt;/titles&gt;&lt;volume&gt;2021&lt;/volume&gt;&lt;number&gt;January 2021&lt;/number&gt;&lt;dates&gt;&lt;year&gt;2019&lt;/year&gt;&lt;pub-dates&gt;&lt;date&gt;2019/11/11&lt;/date&gt;&lt;/pub-dates&gt;&lt;/dates&gt;&lt;publisher&gt;NICE&lt;/publisher&gt;&lt;urls&gt;&lt;related-urls&gt;&lt;url&gt;https://www.nice.org.uk/guidance/ng144&lt;/url&gt;&lt;/related-urls&gt;&lt;/urls&gt;&lt;/record&gt;&lt;/Cite&gt;&lt;/EndNote&gt;</w:instrText>
            </w:r>
            <w:r w:rsidR="00787EF1" w:rsidRPr="00787EF1">
              <w:rPr>
                <w:rFonts w:cstheme="minorHAnsi"/>
              </w:rPr>
              <w:fldChar w:fldCharType="separate"/>
            </w:r>
            <w:r w:rsidR="00345E33" w:rsidRPr="00345E33">
              <w:rPr>
                <w:rFonts w:cstheme="minorHAnsi"/>
                <w:noProof/>
                <w:vertAlign w:val="superscript"/>
              </w:rPr>
              <w:t>2</w:t>
            </w:r>
            <w:r w:rsidR="00787EF1" w:rsidRPr="00787EF1">
              <w:rPr>
                <w:rFonts w:cstheme="minorHAnsi"/>
              </w:rPr>
              <w:fldChar w:fldCharType="end"/>
            </w:r>
            <w:r w:rsidR="00787EF1" w:rsidRPr="00787EF1">
              <w:rPr>
                <w:rFonts w:cstheme="minorHAnsi"/>
              </w:rPr>
              <w:t xml:space="preserve"> </w:t>
            </w:r>
            <w:r>
              <w:rPr>
                <w:rFonts w:cstheme="minorHAnsi"/>
              </w:rPr>
              <w:t xml:space="preserve">advises that </w:t>
            </w:r>
            <w:r w:rsidR="00C80881">
              <w:rPr>
                <w:rFonts w:cstheme="minorHAnsi"/>
              </w:rPr>
              <w:t>Sativex is an</w:t>
            </w:r>
            <w:r w:rsidR="00C80881" w:rsidRPr="00C80881">
              <w:rPr>
                <w:rFonts w:cstheme="minorHAnsi"/>
              </w:rPr>
              <w:t xml:space="preserve"> option if other pharmacological treatments for spasticity are not effective and the conditions of a pay-for-responders scheme are met.</w:t>
            </w:r>
            <w:r w:rsidR="00C80881">
              <w:rPr>
                <w:rFonts w:cstheme="minorHAnsi"/>
              </w:rPr>
              <w:t xml:space="preserve">  </w:t>
            </w:r>
            <w:r w:rsidR="00787EF1" w:rsidRPr="00787EF1">
              <w:rPr>
                <w:rFonts w:cstheme="minorHAnsi"/>
              </w:rPr>
              <w:t>The manufacturer funds the first four weeks’ treatment provided that there is agreement for continued funding for people with at least a 20% reduction in spasticity-related symptoms as measured on a 0 to 10 patient</w:t>
            </w:r>
            <w:r w:rsidR="00787EF1">
              <w:rPr>
                <w:rFonts w:cstheme="minorHAnsi"/>
              </w:rPr>
              <w:t xml:space="preserve"> reported numeric rating scale</w:t>
            </w:r>
            <w:r w:rsidR="00787EF1">
              <w:fldChar w:fldCharType="begin"/>
            </w:r>
            <w:r w:rsidR="00345E33">
              <w:instrText xml:space="preserve"> ADDIN EN.CITE &lt;EndNote&gt;&lt;Cite&gt;&lt;Year&gt;2019&lt;/Year&gt;&lt;RecNum&gt;6167&lt;/RecNum&gt;&lt;DisplayText&gt;&lt;style face="superscript"&gt;2&lt;/style&gt;&lt;/DisplayText&gt;&lt;record&gt;&lt;rec-number&gt;6167&lt;/rec-number&gt;&lt;foreign-keys&gt;&lt;key app="EN" db-id="zdf0sfxp85z90beer07prw0deaavrtaz9ds5" timestamp="1609769215" guid="252121c0-db0d-46ed-a60b-ab335e550ae9"&gt;6167&lt;/key&gt;&lt;/foreign-keys&gt;&lt;ref-type name="Web Page"&gt;12&lt;/ref-type&gt;&lt;contributors&gt;&lt;/contributors&gt;&lt;titles&gt;&lt;title&gt;Cannabis-based medicinal products : guidance (NG144)&lt;/title&gt;&lt;/titles&gt;&lt;volume&gt;2021&lt;/volume&gt;&lt;number&gt;January 2021&lt;/number&gt;&lt;dates&gt;&lt;year&gt;2019&lt;/year&gt;&lt;pub-dates&gt;&lt;date&gt;2019/11/11&lt;/date&gt;&lt;/pub-dates&gt;&lt;/dates&gt;&lt;publisher&gt;NICE&lt;/publisher&gt;&lt;urls&gt;&lt;related-urls&gt;&lt;url&gt;https://www.nice.org.uk/guidance/ng144&lt;/url&gt;&lt;/related-urls&gt;&lt;/urls&gt;&lt;/record&gt;&lt;/Cite&gt;&lt;/EndNote&gt;</w:instrText>
            </w:r>
            <w:r w:rsidR="00787EF1">
              <w:fldChar w:fldCharType="separate"/>
            </w:r>
            <w:r w:rsidR="00345E33" w:rsidRPr="00345E33">
              <w:rPr>
                <w:noProof/>
                <w:vertAlign w:val="superscript"/>
              </w:rPr>
              <w:t>2</w:t>
            </w:r>
            <w:r w:rsidR="00787EF1">
              <w:fldChar w:fldCharType="end"/>
            </w:r>
            <w:r w:rsidR="00787EF1">
              <w:rPr>
                <w:rFonts w:cstheme="minorHAnsi"/>
              </w:rPr>
              <w:t>.</w:t>
            </w:r>
          </w:p>
          <w:p w14:paraId="14521365" w14:textId="17DE16BC" w:rsidR="001F2FFE" w:rsidRPr="00C80881" w:rsidRDefault="00E337B7" w:rsidP="00B37733">
            <w:pPr>
              <w:widowControl w:val="0"/>
              <w:autoSpaceDE w:val="0"/>
              <w:autoSpaceDN w:val="0"/>
              <w:adjustRightInd w:val="0"/>
              <w:spacing w:after="0" w:line="240" w:lineRule="auto"/>
              <w:rPr>
                <w:rFonts w:cstheme="minorHAnsi"/>
                <w:snapToGrid w:val="0"/>
              </w:rPr>
            </w:pPr>
            <w:r>
              <w:rPr>
                <w:rFonts w:cstheme="minorHAnsi"/>
              </w:rPr>
              <w:t>See the MTRAC Commissioning Support guidance on Sativex for a summary of the evidence.</w:t>
            </w:r>
          </w:p>
        </w:tc>
      </w:tr>
      <w:tr w:rsidR="001F2FFE" w:rsidRPr="00295135" w14:paraId="061A519D" w14:textId="77777777" w:rsidTr="007C6E86">
        <w:trPr>
          <w:jc w:val="center"/>
        </w:trPr>
        <w:tc>
          <w:tcPr>
            <w:tcW w:w="2961" w:type="dxa"/>
            <w:shd w:val="clear" w:color="auto" w:fill="F2F2F2"/>
          </w:tcPr>
          <w:p w14:paraId="501E2446" w14:textId="77777777" w:rsidR="001F2FFE" w:rsidRDefault="001F2FFE"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2. Indication</w:t>
            </w:r>
            <w:r>
              <w:rPr>
                <w:rFonts w:eastAsia="Times New Roman" w:cstheme="minorHAnsi"/>
                <w:b/>
                <w:sz w:val="24"/>
                <w:szCs w:val="24"/>
                <w:lang w:eastAsia="en-GB"/>
              </w:rPr>
              <w:t>s</w:t>
            </w:r>
          </w:p>
          <w:p w14:paraId="2F6277DC"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t>(Please state whether licensed or unlicensed)</w:t>
            </w:r>
          </w:p>
        </w:tc>
        <w:tc>
          <w:tcPr>
            <w:tcW w:w="7494" w:type="dxa"/>
            <w:gridSpan w:val="3"/>
            <w:shd w:val="clear" w:color="auto" w:fill="auto"/>
          </w:tcPr>
          <w:p w14:paraId="31A445E6" w14:textId="3326875B" w:rsidR="001F2FFE" w:rsidRPr="00E259D3" w:rsidRDefault="00E259D3" w:rsidP="00B37733">
            <w:pPr>
              <w:spacing w:after="0" w:line="240" w:lineRule="auto"/>
              <w:jc w:val="both"/>
              <w:outlineLvl w:val="4"/>
              <w:rPr>
                <w:rFonts w:ascii="Calibri" w:hAnsi="Calibri" w:cs="Calibri"/>
              </w:rPr>
            </w:pPr>
            <w:r w:rsidRPr="00E259D3">
              <w:rPr>
                <w:rFonts w:ascii="Calibri" w:hAnsi="Calibri" w:cs="Calibri"/>
                <w:snapToGrid w:val="0"/>
              </w:rPr>
              <w:t>Sativex is licensed for use as treatment for symptom improvement in patients with moderate to severe spasticity due to multiple sclerosis who have not responded adequately to other anti-spasticity medication, and who demonstrate clinically significant improvement in spasticity-related symptoms during an initial trial of therapy.</w:t>
            </w:r>
            <w:r w:rsidRPr="00E259D3">
              <w:rPr>
                <w:rFonts w:ascii="Calibri" w:hAnsi="Calibri" w:cs="Calibri"/>
                <w:snapToGrid w:val="0"/>
              </w:rPr>
              <w:fldChar w:fldCharType="begin"/>
            </w:r>
            <w:r w:rsidR="00345E33">
              <w:rPr>
                <w:rFonts w:ascii="Calibri" w:hAnsi="Calibri" w:cs="Calibri"/>
                <w:snapToGrid w:val="0"/>
              </w:rPr>
              <w:instrText xml:space="preserve"> ADDIN EN.CITE &lt;EndNote&gt;&lt;Cite&gt;&lt;Author&gt;GW Pharma&lt;/Author&gt;&lt;Year&gt;2020&lt;/Year&gt;&lt;RecNum&gt;6175&lt;/RecNum&gt;&lt;DisplayText&gt;&lt;style face="superscript"&gt;3&lt;/style&gt;&lt;/DisplayText&gt;&lt;record&gt;&lt;rec-number&gt;6175&lt;/rec-number&gt;&lt;foreign-keys&gt;&lt;key app="EN" db-id="zdf0sfxp85z90beer07prw0deaavrtaz9ds5" timestamp="1610448495" guid="fdd57ced-6954-4e1c-95d4-7104f235fc75"&gt;6175&lt;/key&gt;&lt;/foreign-keys&gt;&lt;ref-type name="Web Page"&gt;12&lt;/ref-type&gt;&lt;contributors&gt;&lt;authors&gt;&lt;author&gt;GW Pharma,&lt;/author&gt;&lt;/authors&gt;&lt;/contributors&gt;&lt;titles&gt;&lt;title&gt;Sativex Oromucosal Spray&lt;/title&gt;&lt;/titles&gt;&lt;volume&gt;2021&lt;/volume&gt;&lt;dates&gt;&lt;year&gt;2020&lt;/year&gt;&lt;/dates&gt;&lt;urls&gt;&lt;related-urls&gt;&lt;url&gt;https://www.medicines.org.uk/emc/product/602&lt;/url&gt;&lt;/related-urls&gt;&lt;/urls&gt;&lt;/record&gt;&lt;/Cite&gt;&lt;/EndNote&gt;</w:instrText>
            </w:r>
            <w:r w:rsidRPr="00E259D3">
              <w:rPr>
                <w:rFonts w:ascii="Calibri" w:hAnsi="Calibri" w:cs="Calibri"/>
                <w:snapToGrid w:val="0"/>
              </w:rPr>
              <w:fldChar w:fldCharType="separate"/>
            </w:r>
            <w:r w:rsidR="00345E33" w:rsidRPr="00345E33">
              <w:rPr>
                <w:rFonts w:ascii="Calibri" w:hAnsi="Calibri" w:cs="Calibri"/>
                <w:noProof/>
                <w:snapToGrid w:val="0"/>
                <w:vertAlign w:val="superscript"/>
              </w:rPr>
              <w:t>3</w:t>
            </w:r>
            <w:r w:rsidRPr="00E259D3">
              <w:rPr>
                <w:rFonts w:ascii="Calibri" w:hAnsi="Calibri" w:cs="Calibri"/>
                <w:snapToGrid w:val="0"/>
              </w:rPr>
              <w:fldChar w:fldCharType="end"/>
            </w:r>
          </w:p>
        </w:tc>
      </w:tr>
      <w:tr w:rsidR="001F2FFE" w:rsidRPr="00295135" w14:paraId="0408E228" w14:textId="77777777" w:rsidTr="007C6E86">
        <w:trPr>
          <w:jc w:val="center"/>
        </w:trPr>
        <w:tc>
          <w:tcPr>
            <w:tcW w:w="2961" w:type="dxa"/>
            <w:shd w:val="clear" w:color="auto" w:fill="F2F2F2"/>
          </w:tcPr>
          <w:p w14:paraId="3AB9AB55"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3. Locally agreed off-label use</w:t>
            </w:r>
          </w:p>
        </w:tc>
        <w:tc>
          <w:tcPr>
            <w:tcW w:w="7494" w:type="dxa"/>
            <w:gridSpan w:val="3"/>
            <w:shd w:val="clear" w:color="auto" w:fill="auto"/>
          </w:tcPr>
          <w:sdt>
            <w:sdtPr>
              <w:rPr>
                <w:rFonts w:ascii="Calibri" w:eastAsia="Times New Roman" w:hAnsi="Calibri" w:cs="Calibri"/>
                <w:color w:val="000000"/>
                <w:highlight w:val="yellow"/>
                <w:lang w:val="en" w:eastAsia="en-GB"/>
              </w:rPr>
              <w:id w:val="-477922673"/>
            </w:sdtPr>
            <w:sdtEndPr/>
            <w:sdtContent>
              <w:p w14:paraId="7FEEB7AA" w14:textId="53CF8C82" w:rsidR="001F2FFE" w:rsidRPr="00E259D3" w:rsidRDefault="00E259D3" w:rsidP="00345E33">
                <w:pPr>
                  <w:spacing w:after="0" w:line="264" w:lineRule="auto"/>
                  <w:rPr>
                    <w:rFonts w:ascii="Calibri" w:eastAsia="Times New Roman" w:hAnsi="Calibri" w:cs="Calibri"/>
                    <w:color w:val="000000"/>
                    <w:lang w:val="en" w:eastAsia="en-GB"/>
                  </w:rPr>
                </w:pPr>
                <w:r w:rsidRPr="00E259D3">
                  <w:rPr>
                    <w:rFonts w:ascii="Calibri" w:eastAsia="Times New Roman" w:hAnsi="Calibri" w:cs="Calibri"/>
                    <w:highlight w:val="yellow"/>
                    <w:lang w:eastAsia="en-GB"/>
                  </w:rPr>
                  <w:t>N/A</w:t>
                </w:r>
              </w:p>
            </w:sdtContent>
          </w:sdt>
        </w:tc>
      </w:tr>
      <w:tr w:rsidR="001F2FFE" w:rsidRPr="00295135" w14:paraId="6AC5F0BC" w14:textId="77777777" w:rsidTr="007C6E86">
        <w:trPr>
          <w:jc w:val="center"/>
        </w:trPr>
        <w:tc>
          <w:tcPr>
            <w:tcW w:w="2961" w:type="dxa"/>
            <w:shd w:val="clear" w:color="auto" w:fill="F2F2F2"/>
          </w:tcPr>
          <w:p w14:paraId="63D8D37F" w14:textId="77777777" w:rsidR="001F2FFE"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t>4</w:t>
            </w:r>
            <w:r w:rsidRPr="00295135">
              <w:rPr>
                <w:rFonts w:eastAsia="Times New Roman" w:cstheme="minorHAnsi"/>
                <w:b/>
                <w:sz w:val="24"/>
                <w:szCs w:val="24"/>
                <w:lang w:eastAsia="en-GB"/>
              </w:rPr>
              <w:t>. Contraindicatio</w:t>
            </w:r>
            <w:r w:rsidRPr="00563482">
              <w:rPr>
                <w:rFonts w:eastAsia="Times New Roman" w:cstheme="minorHAnsi"/>
                <w:b/>
                <w:sz w:val="24"/>
                <w:szCs w:val="24"/>
                <w:lang w:eastAsia="en-GB"/>
              </w:rPr>
              <w:t xml:space="preserve">ns and cautions </w:t>
            </w:r>
          </w:p>
          <w:p w14:paraId="1036AD78" w14:textId="77777777" w:rsidR="001F2FFE" w:rsidRPr="00295135" w:rsidRDefault="001F2FFE" w:rsidP="00345E33">
            <w:pPr>
              <w:spacing w:before="100" w:beforeAutospacing="1" w:after="100" w:afterAutospacing="1" w:line="264" w:lineRule="auto"/>
              <w:rPr>
                <w:rFonts w:eastAsia="Times New Roman" w:cstheme="minorHAnsi"/>
                <w:sz w:val="24"/>
                <w:szCs w:val="24"/>
                <w:lang w:eastAsia="en-GB"/>
              </w:rPr>
            </w:pPr>
            <w:r w:rsidRPr="00295135">
              <w:rPr>
                <w:rFonts w:eastAsia="Times New Roman" w:cstheme="minorHAnsi"/>
                <w:sz w:val="16"/>
                <w:szCs w:val="24"/>
                <w:lang w:eastAsia="en-GB"/>
              </w:rPr>
              <w:t>Please note this does not replace the Summary of Product Characteristics (SPC) and should be read in conjunction with it.</w:t>
            </w:r>
          </w:p>
        </w:tc>
        <w:tc>
          <w:tcPr>
            <w:tcW w:w="7494" w:type="dxa"/>
            <w:gridSpan w:val="3"/>
            <w:shd w:val="clear" w:color="auto" w:fill="auto"/>
          </w:tcPr>
          <w:p w14:paraId="68E8A1AC" w14:textId="77777777" w:rsidR="00E259D3" w:rsidRPr="00E259D3" w:rsidRDefault="00E259D3" w:rsidP="00B37733">
            <w:pPr>
              <w:pStyle w:val="ListParagraph"/>
              <w:numPr>
                <w:ilvl w:val="0"/>
                <w:numId w:val="20"/>
              </w:numPr>
              <w:spacing w:after="60" w:line="240" w:lineRule="auto"/>
              <w:ind w:left="284" w:hanging="284"/>
              <w:contextualSpacing w:val="0"/>
              <w:jc w:val="both"/>
              <w:rPr>
                <w:rFonts w:ascii="Calibri" w:hAnsi="Calibri" w:cs="Calibri"/>
              </w:rPr>
            </w:pPr>
            <w:r w:rsidRPr="00E259D3">
              <w:rPr>
                <w:rFonts w:ascii="Calibri" w:hAnsi="Calibri" w:cs="Calibri"/>
              </w:rPr>
              <w:t>Mild or moderate dizziness is common, and most frequently occurs in the first few weeks of treatment.</w:t>
            </w:r>
          </w:p>
          <w:p w14:paraId="3F8F45A3" w14:textId="1D744648" w:rsidR="00E259D3" w:rsidRPr="00E259D3" w:rsidRDefault="00E259D3" w:rsidP="00B37733">
            <w:pPr>
              <w:pStyle w:val="ListParagraph"/>
              <w:numPr>
                <w:ilvl w:val="0"/>
                <w:numId w:val="20"/>
              </w:numPr>
              <w:spacing w:after="60" w:line="240" w:lineRule="auto"/>
              <w:ind w:left="284" w:hanging="284"/>
              <w:contextualSpacing w:val="0"/>
              <w:jc w:val="both"/>
              <w:rPr>
                <w:rFonts w:ascii="Calibri" w:hAnsi="Calibri" w:cs="Calibri"/>
              </w:rPr>
            </w:pPr>
            <w:r w:rsidRPr="00E259D3">
              <w:rPr>
                <w:rFonts w:ascii="Calibri" w:hAnsi="Calibri" w:cs="Calibri"/>
                <w:color w:val="000000"/>
                <w:shd w:val="clear" w:color="auto" w:fill="FFFFFF"/>
              </w:rPr>
              <w:t>Fainting episodes have been observed</w:t>
            </w:r>
            <w:r w:rsidR="00B37733">
              <w:rPr>
                <w:rFonts w:ascii="Calibri" w:hAnsi="Calibri" w:cs="Calibri"/>
                <w:color w:val="000000"/>
                <w:shd w:val="clear" w:color="auto" w:fill="FFFFFF"/>
              </w:rPr>
              <w:t>; u</w:t>
            </w:r>
            <w:r w:rsidRPr="00E259D3">
              <w:rPr>
                <w:rFonts w:ascii="Calibri" w:hAnsi="Calibri" w:cs="Calibri"/>
                <w:color w:val="000000"/>
                <w:shd w:val="clear" w:color="auto" w:fill="FFFFFF"/>
              </w:rPr>
              <w:t>se of Sativex is not recommended in patients with serious cardiovascular disease.</w:t>
            </w:r>
          </w:p>
          <w:p w14:paraId="627C29F8" w14:textId="77777777" w:rsidR="00B37733" w:rsidRDefault="00B37733" w:rsidP="00B37733">
            <w:pPr>
              <w:pStyle w:val="ListParagraph"/>
              <w:numPr>
                <w:ilvl w:val="0"/>
                <w:numId w:val="20"/>
              </w:numPr>
              <w:spacing w:after="60" w:line="240" w:lineRule="auto"/>
              <w:ind w:left="284" w:hanging="284"/>
              <w:contextualSpacing w:val="0"/>
              <w:jc w:val="both"/>
              <w:rPr>
                <w:rFonts w:ascii="Calibri" w:hAnsi="Calibri" w:cs="Calibri"/>
              </w:rPr>
            </w:pPr>
            <w:r>
              <w:rPr>
                <w:rFonts w:ascii="Calibri" w:hAnsi="Calibri" w:cs="Calibri"/>
              </w:rPr>
              <w:t>P</w:t>
            </w:r>
            <w:r w:rsidR="00E259D3" w:rsidRPr="00E259D3">
              <w:rPr>
                <w:rFonts w:ascii="Calibri" w:hAnsi="Calibri" w:cs="Calibri"/>
              </w:rPr>
              <w:t xml:space="preserve">atients with any known or suspected history or family history of schizophrenia, or other psychotic illness; history of severe personality disorder or other significant psychiatric disorder other than depression associated with their underlying condition.  </w:t>
            </w:r>
          </w:p>
          <w:p w14:paraId="766F453E" w14:textId="769C3A79" w:rsidR="00E259D3" w:rsidRPr="00E259D3" w:rsidRDefault="00B37733" w:rsidP="00B37733">
            <w:pPr>
              <w:pStyle w:val="ListParagraph"/>
              <w:numPr>
                <w:ilvl w:val="0"/>
                <w:numId w:val="20"/>
              </w:numPr>
              <w:spacing w:after="60" w:line="240" w:lineRule="auto"/>
              <w:ind w:left="284" w:hanging="284"/>
              <w:contextualSpacing w:val="0"/>
              <w:jc w:val="both"/>
              <w:rPr>
                <w:rFonts w:ascii="Calibri" w:hAnsi="Calibri" w:cs="Calibri"/>
              </w:rPr>
            </w:pPr>
            <w:r>
              <w:rPr>
                <w:rFonts w:ascii="Calibri" w:hAnsi="Calibri" w:cs="Calibri"/>
              </w:rPr>
              <w:t>H</w:t>
            </w:r>
            <w:r w:rsidR="00E259D3" w:rsidRPr="00E259D3">
              <w:rPr>
                <w:rFonts w:ascii="Calibri" w:hAnsi="Calibri" w:cs="Calibri"/>
              </w:rPr>
              <w:t xml:space="preserve">ypersensitivity to cannabinoids. </w:t>
            </w:r>
          </w:p>
          <w:p w14:paraId="4F080727" w14:textId="77777777" w:rsidR="00B37733" w:rsidRDefault="00E259D3" w:rsidP="00B37733">
            <w:pPr>
              <w:pStyle w:val="ListParagraph"/>
              <w:numPr>
                <w:ilvl w:val="0"/>
                <w:numId w:val="20"/>
              </w:numPr>
              <w:spacing w:after="60" w:line="240" w:lineRule="auto"/>
              <w:ind w:left="284" w:hanging="284"/>
              <w:contextualSpacing w:val="0"/>
              <w:jc w:val="both"/>
              <w:rPr>
                <w:rFonts w:ascii="Calibri" w:hAnsi="Calibri" w:cs="Calibri"/>
              </w:rPr>
            </w:pPr>
            <w:r w:rsidRPr="00E259D3">
              <w:rPr>
                <w:rFonts w:ascii="Calibri" w:hAnsi="Calibri" w:cs="Calibri"/>
              </w:rPr>
              <w:t xml:space="preserve">Psychiatric symptoms such as anxiety, illusions, changes in mood, and paranoid ideas have been reported during treatment with Sativex and are generally mild to moderate in severity and well tolerated. They can be expected to remit on reduction or interruption of Sativex medication.  </w:t>
            </w:r>
          </w:p>
          <w:p w14:paraId="25C06338" w14:textId="135B9E8B" w:rsidR="00E259D3" w:rsidRPr="00E259D3" w:rsidRDefault="00E259D3" w:rsidP="00B37733">
            <w:pPr>
              <w:pStyle w:val="ListParagraph"/>
              <w:numPr>
                <w:ilvl w:val="0"/>
                <w:numId w:val="20"/>
              </w:numPr>
              <w:spacing w:after="60" w:line="240" w:lineRule="auto"/>
              <w:ind w:left="284" w:hanging="284"/>
              <w:contextualSpacing w:val="0"/>
              <w:jc w:val="both"/>
              <w:rPr>
                <w:rFonts w:ascii="Calibri" w:hAnsi="Calibri" w:cs="Calibri"/>
              </w:rPr>
            </w:pPr>
            <w:r w:rsidRPr="00E259D3">
              <w:rPr>
                <w:rFonts w:ascii="Calibri" w:hAnsi="Calibri" w:cs="Calibri"/>
              </w:rPr>
              <w:t xml:space="preserve">Disorientation (or confusion), hallucinations and delusional beliefs or transient psychotic reactions have also been reported and in a few cases a causal association between Sativex administration and suicidal ideation could not be ruled out. </w:t>
            </w:r>
          </w:p>
          <w:p w14:paraId="60AB3362" w14:textId="3B06BBD2" w:rsidR="00E259D3" w:rsidRPr="00E259D3" w:rsidRDefault="00B37733" w:rsidP="00B37733">
            <w:pPr>
              <w:pStyle w:val="ListParagraph"/>
              <w:numPr>
                <w:ilvl w:val="0"/>
                <w:numId w:val="20"/>
              </w:numPr>
              <w:spacing w:after="60" w:line="240" w:lineRule="auto"/>
              <w:ind w:left="284" w:hanging="284"/>
              <w:contextualSpacing w:val="0"/>
              <w:jc w:val="both"/>
              <w:rPr>
                <w:rFonts w:ascii="Calibri" w:hAnsi="Calibri" w:cs="Calibri"/>
              </w:rPr>
            </w:pPr>
            <w:r>
              <w:rPr>
                <w:rFonts w:ascii="Calibri" w:hAnsi="Calibri" w:cs="Calibri"/>
                <w:color w:val="000000"/>
                <w:shd w:val="clear" w:color="auto" w:fill="FFFFFF"/>
              </w:rPr>
              <w:t xml:space="preserve">Risk of increased </w:t>
            </w:r>
            <w:r w:rsidR="00E259D3" w:rsidRPr="00E259D3">
              <w:rPr>
                <w:rFonts w:ascii="Calibri" w:hAnsi="Calibri" w:cs="Calibri"/>
                <w:color w:val="000000"/>
                <w:shd w:val="clear" w:color="auto" w:fill="FFFFFF"/>
              </w:rPr>
              <w:t>incidence of falls in patients whose spasticity has been reduced and whose muscle strength is insufficient to maintain posture or gait. In addition to an increased risk of falls, the CNS adverse reactions of Sativex, particularly in elderly patients, could potentially have an impact on various aspects of personal safety, such as with food and hot drink preparation.</w:t>
            </w:r>
          </w:p>
          <w:p w14:paraId="7CBFF278" w14:textId="11D9BB37" w:rsidR="001F2FFE" w:rsidRPr="00E259D3" w:rsidRDefault="001F2FFE" w:rsidP="00B37733">
            <w:pPr>
              <w:autoSpaceDE w:val="0"/>
              <w:autoSpaceDN w:val="0"/>
              <w:adjustRightInd w:val="0"/>
              <w:spacing w:after="60" w:line="240" w:lineRule="auto"/>
              <w:rPr>
                <w:rFonts w:ascii="Calibri" w:eastAsia="Times New Roman" w:hAnsi="Calibri" w:cs="Calibri"/>
                <w:bCs/>
                <w:iCs/>
                <w:color w:val="000000"/>
                <w:lang w:eastAsia="en-GB"/>
              </w:rPr>
            </w:pPr>
            <w:r w:rsidRPr="00E259D3">
              <w:rPr>
                <w:rFonts w:ascii="Calibri" w:hAnsi="Calibri" w:cs="Calibri"/>
                <w:color w:val="000000"/>
                <w:shd w:val="clear" w:color="auto" w:fill="FFFFFF"/>
              </w:rPr>
              <w:t xml:space="preserve">Please see </w:t>
            </w:r>
            <w:hyperlink r:id="rId12" w:history="1">
              <w:r w:rsidRPr="00E259D3">
                <w:rPr>
                  <w:rStyle w:val="Hyperlink"/>
                  <w:rFonts w:ascii="Calibri" w:hAnsi="Calibri" w:cs="Calibri"/>
                  <w:shd w:val="clear" w:color="auto" w:fill="FFFFFF"/>
                </w:rPr>
                <w:t>SPC</w:t>
              </w:r>
            </w:hyperlink>
            <w:r w:rsidRPr="00E259D3">
              <w:rPr>
                <w:rFonts w:ascii="Calibri" w:hAnsi="Calibri" w:cs="Calibri"/>
                <w:color w:val="000000"/>
                <w:shd w:val="clear" w:color="auto" w:fill="FFFFFF"/>
              </w:rPr>
              <w:t xml:space="preserve"> for comprehensive information.</w:t>
            </w:r>
          </w:p>
        </w:tc>
      </w:tr>
      <w:tr w:rsidR="001F2FFE" w:rsidRPr="00295135" w14:paraId="36F2D6DF" w14:textId="77777777" w:rsidTr="007C6E86">
        <w:trPr>
          <w:trHeight w:val="1266"/>
          <w:jc w:val="center"/>
        </w:trPr>
        <w:tc>
          <w:tcPr>
            <w:tcW w:w="2961" w:type="dxa"/>
            <w:shd w:val="clear" w:color="auto" w:fill="F2F2F2"/>
          </w:tcPr>
          <w:p w14:paraId="46B141F9"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t>5</w:t>
            </w:r>
            <w:r w:rsidRPr="00295135">
              <w:rPr>
                <w:rFonts w:eastAsia="Times New Roman" w:cstheme="minorHAnsi"/>
                <w:b/>
                <w:sz w:val="24"/>
                <w:szCs w:val="24"/>
                <w:lang w:eastAsia="en-GB"/>
              </w:rPr>
              <w:t>. Initiation and ongoing dose regime</w:t>
            </w:r>
          </w:p>
          <w:p w14:paraId="193CDA08" w14:textId="77777777" w:rsidR="001F2FFE" w:rsidRPr="00295135" w:rsidRDefault="001F2FFE" w:rsidP="00345E33">
            <w:pPr>
              <w:spacing w:after="0" w:line="264" w:lineRule="auto"/>
              <w:rPr>
                <w:rFonts w:eastAsia="Times New Roman" w:cstheme="minorHAnsi"/>
                <w:sz w:val="16"/>
                <w:szCs w:val="24"/>
                <w:lang w:eastAsia="en-GB"/>
              </w:rPr>
            </w:pPr>
            <w:r w:rsidRPr="00295135">
              <w:rPr>
                <w:rFonts w:eastAsia="Times New Roman" w:cstheme="minorHAnsi"/>
                <w:sz w:val="16"/>
                <w:szCs w:val="24"/>
                <w:lang w:eastAsia="en-GB"/>
              </w:rPr>
              <w:t>Note -</w:t>
            </w:r>
          </w:p>
          <w:p w14:paraId="4E851FF3" w14:textId="755443FA" w:rsidR="001F2FFE" w:rsidRPr="00295135" w:rsidRDefault="001F2FFE" w:rsidP="00345E33">
            <w:pPr>
              <w:spacing w:after="0" w:line="264" w:lineRule="auto"/>
              <w:rPr>
                <w:rFonts w:eastAsia="Times New Roman" w:cstheme="minorHAnsi"/>
                <w:sz w:val="16"/>
                <w:szCs w:val="24"/>
                <w:lang w:eastAsia="en-GB"/>
              </w:rPr>
            </w:pPr>
            <w:r w:rsidRPr="00295135">
              <w:rPr>
                <w:rFonts w:eastAsia="Times New Roman" w:cstheme="minorHAnsi"/>
                <w:sz w:val="16"/>
                <w:szCs w:val="24"/>
                <w:lang w:eastAsia="en-GB"/>
              </w:rPr>
              <w:t xml:space="preserve">•Transfer of monitoring and prescribing to </w:t>
            </w:r>
            <w:r w:rsidR="0097517B">
              <w:rPr>
                <w:rFonts w:eastAsia="Times New Roman" w:cstheme="minorHAnsi"/>
                <w:sz w:val="16"/>
                <w:szCs w:val="24"/>
                <w:lang w:eastAsia="en-GB"/>
              </w:rPr>
              <w:t>p</w:t>
            </w:r>
            <w:r w:rsidRPr="00295135">
              <w:rPr>
                <w:rFonts w:eastAsia="Times New Roman" w:cstheme="minorHAnsi"/>
                <w:sz w:val="16"/>
                <w:szCs w:val="24"/>
                <w:lang w:eastAsia="en-GB"/>
              </w:rPr>
              <w:t>rimary care is normall</w:t>
            </w:r>
            <w:r>
              <w:rPr>
                <w:rFonts w:eastAsia="Times New Roman" w:cstheme="minorHAnsi"/>
                <w:sz w:val="16"/>
                <w:szCs w:val="24"/>
                <w:lang w:eastAsia="en-GB"/>
              </w:rPr>
              <w:t xml:space="preserve">y after the patient’s dose has been optimised </w:t>
            </w:r>
            <w:r w:rsidRPr="009D47A8">
              <w:rPr>
                <w:rFonts w:eastAsia="Times New Roman" w:cstheme="minorHAnsi"/>
                <w:sz w:val="16"/>
                <w:szCs w:val="24"/>
                <w:lang w:eastAsia="en-GB"/>
              </w:rPr>
              <w:t>and with satisfactory investigation results for at least 4 weeks</w:t>
            </w:r>
            <w:bookmarkStart w:id="0" w:name="_GoBack"/>
            <w:bookmarkEnd w:id="0"/>
          </w:p>
          <w:p w14:paraId="64278C36" w14:textId="19FF3D88" w:rsidR="001F2FFE" w:rsidRPr="00295135" w:rsidRDefault="001F2FFE" w:rsidP="00345E33">
            <w:pPr>
              <w:spacing w:after="0" w:line="264" w:lineRule="auto"/>
              <w:rPr>
                <w:rFonts w:eastAsia="Times New Roman" w:cstheme="minorHAnsi"/>
                <w:sz w:val="16"/>
                <w:szCs w:val="24"/>
                <w:lang w:eastAsia="en-GB"/>
              </w:rPr>
            </w:pPr>
            <w:r w:rsidRPr="00295135">
              <w:rPr>
                <w:rFonts w:eastAsia="Times New Roman" w:cstheme="minorHAnsi"/>
                <w:sz w:val="16"/>
                <w:szCs w:val="24"/>
                <w:lang w:eastAsia="en-GB"/>
              </w:rPr>
              <w:t xml:space="preserve">•The duration of treatment </w:t>
            </w:r>
            <w:r w:rsidR="0024571E">
              <w:rPr>
                <w:rFonts w:eastAsia="Times New Roman" w:cstheme="minorHAnsi"/>
                <w:sz w:val="16"/>
                <w:szCs w:val="24"/>
                <w:lang w:eastAsia="en-GB"/>
              </w:rPr>
              <w:t xml:space="preserve">&amp; frequency of review </w:t>
            </w:r>
            <w:r w:rsidRPr="00295135">
              <w:rPr>
                <w:rFonts w:eastAsia="Times New Roman" w:cstheme="minorHAnsi"/>
                <w:sz w:val="16"/>
                <w:szCs w:val="24"/>
                <w:lang w:eastAsia="en-GB"/>
              </w:rPr>
              <w:t xml:space="preserve">will be determined by the </w:t>
            </w:r>
            <w:r w:rsidRPr="00295135">
              <w:rPr>
                <w:rFonts w:eastAsia="Times New Roman" w:cstheme="minorHAnsi"/>
                <w:sz w:val="16"/>
                <w:szCs w:val="24"/>
                <w:lang w:eastAsia="en-GB"/>
              </w:rPr>
              <w:lastRenderedPageBreak/>
              <w:t>specialist</w:t>
            </w:r>
            <w:r w:rsidR="002E64F1">
              <w:rPr>
                <w:rFonts w:eastAsia="Times New Roman" w:cstheme="minorHAnsi"/>
                <w:sz w:val="16"/>
                <w:szCs w:val="24"/>
                <w:lang w:eastAsia="en-GB"/>
              </w:rPr>
              <w:t>,</w:t>
            </w:r>
            <w:r w:rsidRPr="00295135">
              <w:rPr>
                <w:rFonts w:eastAsia="Times New Roman" w:cstheme="minorHAnsi"/>
                <w:sz w:val="16"/>
                <w:szCs w:val="24"/>
                <w:lang w:eastAsia="en-GB"/>
              </w:rPr>
              <w:t xml:space="preserve"> based on clinical response and tolerability.</w:t>
            </w:r>
          </w:p>
          <w:p w14:paraId="5C3AD2C6" w14:textId="77777777" w:rsidR="001F2FFE" w:rsidRPr="00295135" w:rsidRDefault="001F2FFE" w:rsidP="00345E33">
            <w:pPr>
              <w:spacing w:after="0" w:line="264" w:lineRule="auto"/>
              <w:rPr>
                <w:rFonts w:eastAsia="Times New Roman" w:cstheme="minorHAnsi"/>
                <w:sz w:val="16"/>
                <w:szCs w:val="24"/>
                <w:lang w:eastAsia="en-GB"/>
              </w:rPr>
            </w:pPr>
            <w:r w:rsidRPr="00295135">
              <w:rPr>
                <w:rFonts w:eastAsia="Times New Roman" w:cstheme="minorHAnsi"/>
                <w:sz w:val="16"/>
                <w:szCs w:val="24"/>
                <w:lang w:eastAsia="en-GB"/>
              </w:rPr>
              <w:t>•All dose or formulation adjustments will be the responsibility of the initiating specialist unless directions have been discussed and agreed with the primary care clinician</w:t>
            </w:r>
          </w:p>
          <w:p w14:paraId="57B4E9FE" w14:textId="77777777" w:rsidR="001F2FFE" w:rsidRPr="00295135" w:rsidRDefault="001F2FFE" w:rsidP="00345E33">
            <w:pPr>
              <w:spacing w:after="0" w:line="264" w:lineRule="auto"/>
              <w:rPr>
                <w:rFonts w:eastAsia="Times New Roman" w:cstheme="minorHAnsi"/>
                <w:b/>
                <w:sz w:val="24"/>
                <w:szCs w:val="24"/>
                <w:lang w:eastAsia="en-GB"/>
              </w:rPr>
            </w:pPr>
            <w:r w:rsidRPr="00295135">
              <w:rPr>
                <w:rFonts w:eastAsia="Times New Roman" w:cstheme="minorHAnsi"/>
                <w:sz w:val="16"/>
                <w:szCs w:val="24"/>
                <w:lang w:eastAsia="en-GB"/>
              </w:rPr>
              <w:t>•Termination of treatment will be</w:t>
            </w:r>
            <w:r w:rsidRPr="00295135">
              <w:rPr>
                <w:rFonts w:eastAsia="Times New Roman" w:cstheme="minorHAnsi"/>
                <w:b/>
                <w:sz w:val="16"/>
                <w:szCs w:val="24"/>
                <w:lang w:eastAsia="en-GB"/>
              </w:rPr>
              <w:t xml:space="preserve"> </w:t>
            </w:r>
            <w:r w:rsidRPr="00295135">
              <w:rPr>
                <w:rFonts w:eastAsia="Times New Roman" w:cstheme="minorHAnsi"/>
                <w:sz w:val="16"/>
                <w:szCs w:val="24"/>
                <w:lang w:eastAsia="en-GB"/>
              </w:rPr>
              <w:t>the responsibility of the specialist.</w:t>
            </w:r>
          </w:p>
        </w:tc>
        <w:tc>
          <w:tcPr>
            <w:tcW w:w="7494" w:type="dxa"/>
            <w:gridSpan w:val="3"/>
            <w:shd w:val="clear" w:color="auto" w:fill="auto"/>
          </w:tcPr>
          <w:p w14:paraId="2EC5DCFF" w14:textId="7C4F33CD" w:rsidR="001F2FFE" w:rsidRPr="00405DA9" w:rsidRDefault="001F2FFE" w:rsidP="00B37733">
            <w:pPr>
              <w:spacing w:before="100" w:beforeAutospacing="1" w:after="0" w:line="264" w:lineRule="auto"/>
              <w:rPr>
                <w:rFonts w:eastAsia="Times New Roman" w:cstheme="minorHAnsi"/>
                <w:iCs/>
                <w:color w:val="000000"/>
              </w:rPr>
            </w:pPr>
            <w:r w:rsidRPr="00D17DCB">
              <w:rPr>
                <w:rFonts w:eastAsia="Times New Roman" w:cstheme="minorHAnsi"/>
                <w:b/>
                <w:iCs/>
                <w:color w:val="000000"/>
                <w:u w:val="single"/>
              </w:rPr>
              <w:lastRenderedPageBreak/>
              <w:t>Initial stabilisation:</w:t>
            </w:r>
            <w:r w:rsidR="00B37733">
              <w:rPr>
                <w:rFonts w:eastAsia="Times New Roman" w:cstheme="minorHAnsi"/>
                <w:b/>
                <w:iCs/>
                <w:color w:val="000000"/>
                <w:u w:val="single"/>
              </w:rPr>
              <w:t xml:space="preserve"> </w:t>
            </w:r>
            <w:r w:rsidR="00405DA9" w:rsidRPr="00405DA9">
              <w:rPr>
                <w:rFonts w:eastAsia="Times New Roman" w:cstheme="minorHAnsi"/>
                <w:iCs/>
                <w:color w:val="000000"/>
              </w:rPr>
              <w:t xml:space="preserve">The initial dose is 1 spray taken in the evening.  The number of sprays should be increased each day following the schedule in the </w:t>
            </w:r>
            <w:hyperlink r:id="rId13" w:history="1">
              <w:r w:rsidR="00405DA9" w:rsidRPr="00405DA9">
                <w:rPr>
                  <w:rStyle w:val="Hyperlink"/>
                  <w:rFonts w:eastAsia="Times New Roman" w:cstheme="minorHAnsi"/>
                  <w:iCs/>
                </w:rPr>
                <w:t>SPC</w:t>
              </w:r>
            </w:hyperlink>
            <w:r w:rsidR="00405DA9">
              <w:rPr>
                <w:rFonts w:eastAsia="Times New Roman" w:cstheme="minorHAnsi"/>
                <w:iCs/>
                <w:color w:val="000000"/>
              </w:rPr>
              <w:t>, up to a maximum of 12 sprays per day</w:t>
            </w:r>
            <w:r w:rsidR="00405DA9" w:rsidRPr="00405DA9">
              <w:rPr>
                <w:rFonts w:eastAsia="Times New Roman" w:cstheme="minorHAnsi"/>
                <w:iCs/>
                <w:color w:val="000000"/>
              </w:rPr>
              <w:t>.</w:t>
            </w:r>
          </w:p>
          <w:p w14:paraId="4CBBD96A" w14:textId="2EFEC8DF" w:rsidR="001F2FFE" w:rsidRDefault="001F2FFE" w:rsidP="00345E33">
            <w:pPr>
              <w:spacing w:after="120" w:line="264" w:lineRule="auto"/>
              <w:rPr>
                <w:rFonts w:eastAsia="Times New Roman" w:cstheme="minorHAnsi"/>
                <w:iCs/>
                <w:color w:val="000000"/>
              </w:rPr>
            </w:pPr>
            <w:r>
              <w:rPr>
                <w:rFonts w:eastAsia="Times New Roman" w:cstheme="minorHAnsi"/>
                <w:b/>
                <w:iCs/>
                <w:color w:val="000000"/>
              </w:rPr>
              <w:t xml:space="preserve">The </w:t>
            </w:r>
            <w:r w:rsidRPr="00B468D0">
              <w:rPr>
                <w:rFonts w:eastAsia="Times New Roman" w:cstheme="minorHAnsi"/>
                <w:b/>
                <w:iCs/>
                <w:color w:val="000000"/>
              </w:rPr>
              <w:t>loading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34CCC946" w14:textId="2812797F" w:rsidR="001F2FFE" w:rsidRPr="00405DA9" w:rsidRDefault="001F2FFE" w:rsidP="00B37733">
            <w:pPr>
              <w:spacing w:after="0" w:line="264" w:lineRule="auto"/>
              <w:rPr>
                <w:rFonts w:eastAsia="Times New Roman" w:cstheme="minorHAnsi"/>
                <w:iCs/>
                <w:color w:val="000000"/>
              </w:rPr>
            </w:pPr>
            <w:r>
              <w:rPr>
                <w:rFonts w:eastAsia="Times New Roman" w:cstheme="minorHAnsi"/>
                <w:b/>
                <w:iCs/>
                <w:color w:val="000000"/>
                <w:u w:val="single"/>
              </w:rPr>
              <w:t>Maintenance dose (following initial stabilisation)</w:t>
            </w:r>
            <w:r w:rsidRPr="00D17DCB">
              <w:rPr>
                <w:rFonts w:eastAsia="Times New Roman" w:cstheme="minorHAnsi"/>
                <w:b/>
                <w:iCs/>
                <w:color w:val="000000"/>
                <w:u w:val="single"/>
              </w:rPr>
              <w:t>:</w:t>
            </w:r>
            <w:r w:rsidR="00B37733">
              <w:rPr>
                <w:rFonts w:eastAsia="Times New Roman" w:cstheme="minorHAnsi"/>
                <w:b/>
                <w:iCs/>
                <w:color w:val="000000"/>
                <w:u w:val="single"/>
              </w:rPr>
              <w:t xml:space="preserve"> </w:t>
            </w:r>
            <w:r w:rsidR="00405DA9">
              <w:rPr>
                <w:rFonts w:eastAsia="Times New Roman" w:cstheme="minorHAnsi"/>
                <w:iCs/>
                <w:color w:val="000000"/>
              </w:rPr>
              <w:t>Following titration, patients are advised to maintain the optimum dose achieved.  The median dose in clinical trials involving patients with MS was eight sprays per day.</w:t>
            </w:r>
          </w:p>
          <w:p w14:paraId="0B8ED490" w14:textId="5A8E00F8" w:rsidR="001F2FFE" w:rsidRPr="00686C75" w:rsidRDefault="001F2FFE" w:rsidP="00B37733">
            <w:pPr>
              <w:spacing w:after="120" w:line="240" w:lineRule="auto"/>
              <w:rPr>
                <w:rFonts w:eastAsia="Times New Roman" w:cstheme="minorHAnsi"/>
                <w:b/>
                <w:iCs/>
                <w:color w:val="000000"/>
              </w:rPr>
            </w:pPr>
            <w:r w:rsidRPr="00B468D0">
              <w:rPr>
                <w:rFonts w:eastAsia="Times New Roman" w:cstheme="minorHAnsi"/>
                <w:b/>
                <w:iCs/>
                <w:color w:val="000000"/>
              </w:rPr>
              <w:t>The initial maintenance dose must be prescribed by the initiating specialist.</w:t>
            </w:r>
          </w:p>
          <w:p w14:paraId="017D4E44" w14:textId="77777777" w:rsidR="001F2FFE" w:rsidRDefault="001F2FFE" w:rsidP="00B37733">
            <w:pPr>
              <w:spacing w:after="120" w:line="240" w:lineRule="auto"/>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3F3031CA" w14:textId="17DF22EE" w:rsidR="001F2FFE" w:rsidRPr="0004716E" w:rsidRDefault="00686C75" w:rsidP="00B37733">
            <w:pPr>
              <w:spacing w:after="120" w:line="240" w:lineRule="auto"/>
              <w:rPr>
                <w:rFonts w:eastAsia="Times New Roman" w:cstheme="minorHAnsi"/>
                <w:iCs/>
                <w:color w:val="000000"/>
              </w:rPr>
            </w:pPr>
            <w:r>
              <w:rPr>
                <w:rFonts w:eastAsia="Times New Roman" w:cstheme="minorHAnsi"/>
                <w:iCs/>
                <w:color w:val="000000"/>
              </w:rPr>
              <w:t>C</w:t>
            </w:r>
            <w:r w:rsidR="00405DA9" w:rsidRPr="00405DA9">
              <w:rPr>
                <w:rFonts w:eastAsia="Times New Roman" w:cstheme="minorHAnsi"/>
                <w:iCs/>
                <w:color w:val="000000"/>
              </w:rPr>
              <w:t>hanges in the severity of th</w:t>
            </w:r>
            <w:r>
              <w:rPr>
                <w:rFonts w:eastAsia="Times New Roman" w:cstheme="minorHAnsi"/>
                <w:iCs/>
                <w:color w:val="000000"/>
              </w:rPr>
              <w:t>e patient’s</w:t>
            </w:r>
            <w:r w:rsidR="00405DA9" w:rsidRPr="00405DA9">
              <w:rPr>
                <w:rFonts w:eastAsia="Times New Roman" w:cstheme="minorHAnsi"/>
                <w:iCs/>
                <w:color w:val="000000"/>
              </w:rPr>
              <w:t xml:space="preserve"> condition, changes in concomitant medication or if troublesome adverse reactions develop. Doses of greater than 12 sprays per day are not recommended</w:t>
            </w:r>
            <w:r w:rsidR="00405DA9">
              <w:rPr>
                <w:rFonts w:eastAsia="Times New Roman" w:cstheme="minorHAnsi"/>
                <w:iCs/>
                <w:color w:val="000000"/>
              </w:rPr>
              <w:t xml:space="preserve"> in the </w:t>
            </w:r>
            <w:hyperlink r:id="rId14" w:history="1">
              <w:r w:rsidR="00405DA9" w:rsidRPr="00405DA9">
                <w:rPr>
                  <w:rStyle w:val="Hyperlink"/>
                  <w:rFonts w:eastAsia="Times New Roman" w:cstheme="minorHAnsi"/>
                  <w:iCs/>
                </w:rPr>
                <w:t>SPC</w:t>
              </w:r>
            </w:hyperlink>
            <w:r w:rsidR="00405DA9" w:rsidRPr="00405DA9">
              <w:rPr>
                <w:rFonts w:eastAsia="Times New Roman" w:cstheme="minorHAnsi"/>
                <w:iCs/>
                <w:color w:val="000000"/>
              </w:rPr>
              <w:t>.</w:t>
            </w:r>
          </w:p>
        </w:tc>
      </w:tr>
      <w:tr w:rsidR="001F2FFE" w:rsidRPr="00295135" w14:paraId="4CDE4318" w14:textId="77777777" w:rsidTr="000A1C3F">
        <w:trPr>
          <w:trHeight w:val="315"/>
          <w:jc w:val="center"/>
        </w:trPr>
        <w:tc>
          <w:tcPr>
            <w:tcW w:w="2961" w:type="dxa"/>
            <w:vMerge w:val="restart"/>
            <w:shd w:val="clear" w:color="auto" w:fill="F2F2F2"/>
          </w:tcPr>
          <w:p w14:paraId="1D29E8B4"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lastRenderedPageBreak/>
              <w:t xml:space="preserve">6. </w:t>
            </w:r>
            <w:r w:rsidRPr="00295135">
              <w:rPr>
                <w:rFonts w:eastAsia="Times New Roman" w:cstheme="minorHAnsi"/>
                <w:b/>
                <w:sz w:val="24"/>
                <w:szCs w:val="24"/>
                <w:lang w:eastAsia="en-GB"/>
              </w:rPr>
              <w:t xml:space="preserve">Pharmaceutical aspects </w:t>
            </w:r>
          </w:p>
        </w:tc>
        <w:tc>
          <w:tcPr>
            <w:tcW w:w="1701" w:type="dxa"/>
            <w:shd w:val="clear" w:color="auto" w:fill="auto"/>
            <w:vAlign w:val="center"/>
          </w:tcPr>
          <w:p w14:paraId="6BD10400" w14:textId="77777777" w:rsidR="001F2FFE" w:rsidRPr="00563482" w:rsidRDefault="001F2FFE" w:rsidP="00B37733">
            <w:pPr>
              <w:spacing w:after="0" w:line="240" w:lineRule="auto"/>
              <w:rPr>
                <w:rFonts w:eastAsia="Times New Roman" w:cstheme="minorHAnsi"/>
                <w:szCs w:val="24"/>
                <w:lang w:eastAsia="en-GB"/>
              </w:rPr>
            </w:pPr>
            <w:r w:rsidRPr="00563482">
              <w:rPr>
                <w:rFonts w:eastAsia="Times New Roman" w:cstheme="minorHAnsi"/>
                <w:szCs w:val="24"/>
                <w:lang w:eastAsia="en-GB"/>
              </w:rPr>
              <w:t>Route of administration:</w:t>
            </w:r>
          </w:p>
        </w:tc>
        <w:tc>
          <w:tcPr>
            <w:tcW w:w="5793" w:type="dxa"/>
            <w:gridSpan w:val="2"/>
            <w:shd w:val="clear" w:color="auto" w:fill="auto"/>
            <w:vAlign w:val="center"/>
          </w:tcPr>
          <w:p w14:paraId="4C936032" w14:textId="0C729724" w:rsidR="001F2FFE" w:rsidRPr="00563482" w:rsidRDefault="0001743A" w:rsidP="00B37733">
            <w:pPr>
              <w:spacing w:after="0" w:line="240" w:lineRule="auto"/>
              <w:rPr>
                <w:rFonts w:eastAsia="Times New Roman" w:cstheme="minorHAnsi"/>
                <w:szCs w:val="24"/>
                <w:lang w:eastAsia="en-GB"/>
              </w:rPr>
            </w:pPr>
            <w:r>
              <w:rPr>
                <w:rFonts w:eastAsia="Times New Roman" w:cstheme="minorHAnsi"/>
                <w:szCs w:val="24"/>
                <w:lang w:eastAsia="en-GB"/>
              </w:rPr>
              <w:t>Oral spray</w:t>
            </w:r>
          </w:p>
        </w:tc>
      </w:tr>
      <w:tr w:rsidR="001F2FFE" w:rsidRPr="00295135" w14:paraId="37E4F120" w14:textId="77777777" w:rsidTr="000A1C3F">
        <w:trPr>
          <w:trHeight w:val="315"/>
          <w:jc w:val="center"/>
        </w:trPr>
        <w:tc>
          <w:tcPr>
            <w:tcW w:w="2961" w:type="dxa"/>
            <w:vMerge/>
            <w:shd w:val="clear" w:color="auto" w:fill="F2F2F2"/>
          </w:tcPr>
          <w:p w14:paraId="05C0BCE6" w14:textId="77777777" w:rsidR="001F2FFE" w:rsidRDefault="001F2FFE" w:rsidP="00345E33">
            <w:pPr>
              <w:spacing w:before="100" w:beforeAutospacing="1" w:after="100" w:afterAutospacing="1" w:line="264" w:lineRule="auto"/>
              <w:rPr>
                <w:rFonts w:eastAsia="Times New Roman" w:cstheme="minorHAnsi"/>
                <w:b/>
                <w:sz w:val="24"/>
                <w:szCs w:val="24"/>
                <w:lang w:eastAsia="en-GB"/>
              </w:rPr>
            </w:pPr>
          </w:p>
        </w:tc>
        <w:tc>
          <w:tcPr>
            <w:tcW w:w="1701" w:type="dxa"/>
            <w:shd w:val="clear" w:color="auto" w:fill="auto"/>
            <w:vAlign w:val="center"/>
          </w:tcPr>
          <w:p w14:paraId="4E1B7A7A" w14:textId="77777777" w:rsidR="001F2FFE" w:rsidRPr="00563482" w:rsidRDefault="001F2FFE" w:rsidP="00B37733">
            <w:pPr>
              <w:spacing w:after="0" w:line="240" w:lineRule="auto"/>
              <w:rPr>
                <w:rFonts w:eastAsia="Times New Roman" w:cstheme="minorHAnsi"/>
                <w:szCs w:val="24"/>
                <w:lang w:eastAsia="en-GB"/>
              </w:rPr>
            </w:pPr>
            <w:r w:rsidRPr="00563482">
              <w:rPr>
                <w:rFonts w:eastAsia="Times New Roman" w:cstheme="minorHAnsi"/>
                <w:szCs w:val="24"/>
                <w:lang w:eastAsia="en-GB"/>
              </w:rPr>
              <w:t>Formulation:</w:t>
            </w:r>
          </w:p>
        </w:tc>
        <w:tc>
          <w:tcPr>
            <w:tcW w:w="5793" w:type="dxa"/>
            <w:gridSpan w:val="2"/>
            <w:shd w:val="clear" w:color="auto" w:fill="auto"/>
            <w:vAlign w:val="center"/>
          </w:tcPr>
          <w:p w14:paraId="0F3679A2" w14:textId="7935BF4E" w:rsidR="001F2FFE" w:rsidRPr="00563482" w:rsidRDefault="0001743A" w:rsidP="00B37733">
            <w:pPr>
              <w:shd w:val="clear" w:color="auto" w:fill="FFFFFF"/>
              <w:spacing w:after="0" w:line="240" w:lineRule="auto"/>
              <w:rPr>
                <w:rFonts w:eastAsia="Times New Roman" w:cstheme="minorHAnsi"/>
                <w:iCs/>
                <w:noProof/>
                <w:color w:val="000000"/>
                <w:lang w:val="en-US" w:eastAsia="en-GB"/>
              </w:rPr>
            </w:pPr>
            <w:r>
              <w:rPr>
                <w:rFonts w:eastAsia="Times New Roman" w:cstheme="minorHAnsi"/>
                <w:iCs/>
                <w:noProof/>
                <w:color w:val="000000"/>
                <w:lang w:val="en-US" w:eastAsia="en-GB"/>
              </w:rPr>
              <w:t>Oromucosal</w:t>
            </w:r>
          </w:p>
        </w:tc>
      </w:tr>
      <w:tr w:rsidR="001F2FFE" w:rsidRPr="00295135" w14:paraId="7438AB4D" w14:textId="77777777" w:rsidTr="000A1C3F">
        <w:trPr>
          <w:trHeight w:val="315"/>
          <w:jc w:val="center"/>
        </w:trPr>
        <w:tc>
          <w:tcPr>
            <w:tcW w:w="2961" w:type="dxa"/>
            <w:vMerge/>
            <w:shd w:val="clear" w:color="auto" w:fill="F2F2F2"/>
          </w:tcPr>
          <w:p w14:paraId="65033815" w14:textId="77777777" w:rsidR="001F2FFE" w:rsidRDefault="001F2FFE" w:rsidP="00345E33">
            <w:pPr>
              <w:spacing w:before="100" w:beforeAutospacing="1" w:after="100" w:afterAutospacing="1" w:line="264" w:lineRule="auto"/>
              <w:rPr>
                <w:rFonts w:eastAsia="Times New Roman" w:cstheme="minorHAnsi"/>
                <w:b/>
                <w:sz w:val="24"/>
                <w:szCs w:val="24"/>
                <w:lang w:eastAsia="en-GB"/>
              </w:rPr>
            </w:pPr>
          </w:p>
        </w:tc>
        <w:tc>
          <w:tcPr>
            <w:tcW w:w="1701" w:type="dxa"/>
            <w:shd w:val="clear" w:color="auto" w:fill="auto"/>
            <w:vAlign w:val="center"/>
          </w:tcPr>
          <w:p w14:paraId="478B6734" w14:textId="77777777" w:rsidR="001F2FFE" w:rsidRPr="00563482" w:rsidRDefault="001F2FFE" w:rsidP="00B37733">
            <w:pPr>
              <w:spacing w:after="0" w:line="240" w:lineRule="auto"/>
              <w:rPr>
                <w:rFonts w:eastAsia="Times New Roman" w:cstheme="minorHAnsi"/>
                <w:szCs w:val="24"/>
                <w:lang w:eastAsia="en-GB"/>
              </w:rPr>
            </w:pPr>
            <w:r w:rsidRPr="00563482">
              <w:rPr>
                <w:rFonts w:eastAsia="Times New Roman" w:cstheme="minorHAnsi"/>
                <w:szCs w:val="24"/>
                <w:lang w:eastAsia="en-GB"/>
              </w:rPr>
              <w:t>Administration details:</w:t>
            </w:r>
          </w:p>
        </w:tc>
        <w:tc>
          <w:tcPr>
            <w:tcW w:w="5793" w:type="dxa"/>
            <w:gridSpan w:val="2"/>
            <w:shd w:val="clear" w:color="auto" w:fill="auto"/>
            <w:vAlign w:val="center"/>
          </w:tcPr>
          <w:p w14:paraId="04BD7B87" w14:textId="28EA0666" w:rsidR="001F2FFE" w:rsidRPr="00563482" w:rsidRDefault="0001743A" w:rsidP="00B37733">
            <w:pPr>
              <w:spacing w:after="0" w:line="240" w:lineRule="auto"/>
              <w:rPr>
                <w:rFonts w:eastAsia="Times New Roman" w:cstheme="minorHAnsi"/>
                <w:lang w:eastAsia="en-GB"/>
              </w:rPr>
            </w:pPr>
            <w:r>
              <w:rPr>
                <w:rFonts w:eastAsia="Times New Roman" w:cstheme="minorHAnsi"/>
                <w:lang w:eastAsia="en-GB"/>
              </w:rPr>
              <w:t>The spray container should be shaken before use and the spray directed at different sites each time the product is used.</w:t>
            </w:r>
          </w:p>
        </w:tc>
      </w:tr>
      <w:tr w:rsidR="001F2FFE" w:rsidRPr="00295135" w14:paraId="55350AF5" w14:textId="77777777" w:rsidTr="000A1C3F">
        <w:trPr>
          <w:trHeight w:val="315"/>
          <w:jc w:val="center"/>
        </w:trPr>
        <w:tc>
          <w:tcPr>
            <w:tcW w:w="2961" w:type="dxa"/>
            <w:vMerge/>
            <w:shd w:val="clear" w:color="auto" w:fill="F2F2F2"/>
          </w:tcPr>
          <w:p w14:paraId="3D10B131" w14:textId="77777777" w:rsidR="001F2FFE" w:rsidRDefault="001F2FFE" w:rsidP="00345E33">
            <w:pPr>
              <w:spacing w:before="100" w:beforeAutospacing="1" w:after="100" w:afterAutospacing="1" w:line="264" w:lineRule="auto"/>
              <w:rPr>
                <w:rFonts w:eastAsia="Times New Roman" w:cstheme="minorHAnsi"/>
                <w:b/>
                <w:sz w:val="24"/>
                <w:szCs w:val="24"/>
                <w:lang w:eastAsia="en-GB"/>
              </w:rPr>
            </w:pPr>
          </w:p>
        </w:tc>
        <w:tc>
          <w:tcPr>
            <w:tcW w:w="1701" w:type="dxa"/>
            <w:shd w:val="clear" w:color="auto" w:fill="auto"/>
            <w:vAlign w:val="center"/>
          </w:tcPr>
          <w:p w14:paraId="446A8755" w14:textId="77777777" w:rsidR="001F2FFE" w:rsidRPr="00563482" w:rsidRDefault="001F2FFE" w:rsidP="00B37733">
            <w:pPr>
              <w:spacing w:after="0" w:line="240" w:lineRule="auto"/>
              <w:rPr>
                <w:rFonts w:eastAsia="Times New Roman" w:cstheme="minorHAnsi"/>
                <w:szCs w:val="24"/>
                <w:lang w:eastAsia="en-GB"/>
              </w:rPr>
            </w:pPr>
            <w:r w:rsidRPr="00563482">
              <w:rPr>
                <w:rFonts w:eastAsia="Times New Roman" w:cstheme="minorHAnsi"/>
                <w:szCs w:val="24"/>
                <w:lang w:eastAsia="en-GB"/>
              </w:rPr>
              <w:t>Other important information:</w:t>
            </w:r>
          </w:p>
        </w:tc>
        <w:tc>
          <w:tcPr>
            <w:tcW w:w="5793" w:type="dxa"/>
            <w:gridSpan w:val="2"/>
            <w:shd w:val="clear" w:color="auto" w:fill="auto"/>
            <w:vAlign w:val="center"/>
          </w:tcPr>
          <w:p w14:paraId="45D69C40" w14:textId="612823DE" w:rsidR="001F2FFE" w:rsidRPr="00563482" w:rsidRDefault="00405DA9" w:rsidP="00B37733">
            <w:pPr>
              <w:spacing w:after="0" w:line="240" w:lineRule="auto"/>
              <w:rPr>
                <w:rFonts w:eastAsia="Times New Roman" w:cstheme="minorHAnsi"/>
                <w:szCs w:val="24"/>
                <w:lang w:eastAsia="en-GB"/>
              </w:rPr>
            </w:pPr>
            <w:r>
              <w:rPr>
                <w:rFonts w:eastAsia="Times New Roman" w:cstheme="minorHAnsi"/>
                <w:szCs w:val="24"/>
                <w:lang w:eastAsia="en-GB"/>
              </w:rPr>
              <w:t>Sativex is intended for use in addition to the patient’s current anti-spasticity medication</w:t>
            </w:r>
          </w:p>
        </w:tc>
      </w:tr>
      <w:tr w:rsidR="001F2FFE" w:rsidRPr="00295135" w14:paraId="43330AD8" w14:textId="77777777" w:rsidTr="007C6E86">
        <w:trPr>
          <w:jc w:val="center"/>
        </w:trPr>
        <w:tc>
          <w:tcPr>
            <w:tcW w:w="2961" w:type="dxa"/>
            <w:shd w:val="clear" w:color="auto" w:fill="F2F2F2"/>
          </w:tcPr>
          <w:p w14:paraId="6EF22C52"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t>7</w:t>
            </w:r>
            <w:r w:rsidRPr="00295135">
              <w:rPr>
                <w:rFonts w:eastAsia="Times New Roman" w:cstheme="minorHAnsi"/>
                <w:b/>
                <w:sz w:val="24"/>
                <w:szCs w:val="24"/>
                <w:lang w:eastAsia="en-GB"/>
              </w:rPr>
              <w:t xml:space="preserve">. Significant </w:t>
            </w:r>
            <w:r>
              <w:rPr>
                <w:rFonts w:eastAsia="Times New Roman" w:cstheme="minorHAnsi"/>
                <w:b/>
                <w:sz w:val="24"/>
                <w:szCs w:val="24"/>
                <w:lang w:eastAsia="en-GB"/>
              </w:rPr>
              <w:t>medicine</w:t>
            </w:r>
            <w:r w:rsidRPr="00295135">
              <w:rPr>
                <w:rFonts w:eastAsia="Times New Roman" w:cstheme="minorHAnsi"/>
                <w:b/>
                <w:sz w:val="24"/>
                <w:szCs w:val="24"/>
                <w:lang w:eastAsia="en-GB"/>
              </w:rPr>
              <w:t xml:space="preserve"> interactions</w:t>
            </w:r>
          </w:p>
          <w:p w14:paraId="5B9B4564" w14:textId="581459A1" w:rsidR="001F2FFE" w:rsidRPr="00295135" w:rsidRDefault="001F2FFE" w:rsidP="00345E33">
            <w:pPr>
              <w:spacing w:after="0" w:line="264" w:lineRule="auto"/>
              <w:rPr>
                <w:rFonts w:eastAsia="Times New Roman" w:cstheme="minorHAnsi"/>
                <w:bCs/>
                <w:iCs/>
                <w:color w:val="000000"/>
                <w:sz w:val="16"/>
                <w:szCs w:val="16"/>
                <w:lang w:val="en-US" w:eastAsia="en-GB"/>
              </w:rPr>
            </w:pPr>
            <w:r w:rsidRPr="00295135">
              <w:rPr>
                <w:rFonts w:eastAsia="Times New Roman" w:cstheme="minorHAnsi"/>
                <w:bCs/>
                <w:iCs/>
                <w:color w:val="000000"/>
                <w:sz w:val="16"/>
                <w:szCs w:val="16"/>
                <w:lang w:val="en-US" w:eastAsia="en-GB"/>
              </w:rPr>
              <w:t xml:space="preserve">For a comprehensive list consult the BNF or Summary of Product Characteristics. </w:t>
            </w:r>
            <w:hyperlink r:id="rId15" w:history="1">
              <w:r w:rsidRPr="00295135">
                <w:rPr>
                  <w:rFonts w:eastAsia="Times New Roman" w:cstheme="minorHAnsi"/>
                  <w:color w:val="0000FF"/>
                  <w:sz w:val="16"/>
                  <w:szCs w:val="16"/>
                  <w:u w:val="single"/>
                  <w:lang w:eastAsia="en-GB"/>
                </w:rPr>
                <w:t>SPC</w:t>
              </w:r>
            </w:hyperlink>
          </w:p>
        </w:tc>
        <w:tc>
          <w:tcPr>
            <w:tcW w:w="7494" w:type="dxa"/>
            <w:gridSpan w:val="3"/>
            <w:shd w:val="clear" w:color="auto" w:fill="auto"/>
          </w:tcPr>
          <w:p w14:paraId="6EC1F40D" w14:textId="14BBDDDF" w:rsidR="001F2FFE" w:rsidRDefault="001F2FFE" w:rsidP="00B37733">
            <w:pPr>
              <w:autoSpaceDE w:val="0"/>
              <w:autoSpaceDN w:val="0"/>
              <w:adjustRightInd w:val="0"/>
              <w:spacing w:after="0" w:line="240" w:lineRule="auto"/>
              <w:rPr>
                <w:rFonts w:eastAsia="Times New Roman" w:cstheme="minorHAnsi"/>
                <w:bCs/>
                <w:iCs/>
                <w:color w:val="000000"/>
                <w:lang w:eastAsia="en-GB"/>
              </w:rPr>
            </w:pPr>
            <w:r w:rsidRPr="000026E5">
              <w:rPr>
                <w:rFonts w:eastAsia="Times New Roman" w:cstheme="minorHAnsi"/>
                <w:b/>
                <w:bCs/>
                <w:iCs/>
                <w:color w:val="000000"/>
                <w:lang w:eastAsia="en-GB"/>
              </w:rPr>
              <w:t xml:space="preserve">The following list is not exhaustive; please </w:t>
            </w:r>
            <w:r w:rsidRPr="000026E5">
              <w:rPr>
                <w:rFonts w:cstheme="minorHAnsi"/>
                <w:b/>
                <w:color w:val="000000"/>
                <w:shd w:val="clear" w:color="auto" w:fill="FFFFFF"/>
              </w:rPr>
              <w:t xml:space="preserve">see </w:t>
            </w:r>
            <w:hyperlink r:id="rId16" w:history="1">
              <w:r w:rsidRPr="000026E5">
                <w:rPr>
                  <w:rStyle w:val="Hyperlink"/>
                  <w:rFonts w:cstheme="minorHAnsi"/>
                  <w:b/>
                  <w:shd w:val="clear" w:color="auto" w:fill="FFFFFF"/>
                </w:rPr>
                <w:t>SPC</w:t>
              </w:r>
            </w:hyperlink>
            <w:r w:rsidRPr="000026E5">
              <w:rPr>
                <w:rFonts w:cstheme="minorHAnsi"/>
                <w:b/>
                <w:color w:val="000000"/>
                <w:shd w:val="clear" w:color="auto" w:fill="FFFFFF"/>
              </w:rPr>
              <w:t xml:space="preserve"> for comprehensive information and recommended management.</w:t>
            </w:r>
          </w:p>
          <w:p w14:paraId="09E37A67" w14:textId="77777777" w:rsidR="00E259D3" w:rsidRPr="00E259D3" w:rsidRDefault="00E259D3" w:rsidP="00B37733">
            <w:pPr>
              <w:pStyle w:val="ListParagraph"/>
              <w:numPr>
                <w:ilvl w:val="0"/>
                <w:numId w:val="20"/>
              </w:numPr>
              <w:spacing w:after="0" w:line="240" w:lineRule="auto"/>
              <w:ind w:left="284" w:hanging="284"/>
              <w:contextualSpacing w:val="0"/>
              <w:jc w:val="both"/>
              <w:rPr>
                <w:rFonts w:ascii="Calibri" w:hAnsi="Calibri" w:cs="Calibri"/>
              </w:rPr>
            </w:pPr>
            <w:r w:rsidRPr="00E259D3">
              <w:rPr>
                <w:rFonts w:ascii="Calibri" w:hAnsi="Calibri" w:cs="Calibri"/>
              </w:rPr>
              <w:t>Care should be taken with hypnotics, sedatives and drugs with potential sedating effects as there may be an additive effect on sedation and muscle relaxing effects.</w:t>
            </w:r>
          </w:p>
          <w:p w14:paraId="76DB69A7" w14:textId="77777777" w:rsidR="00E259D3" w:rsidRPr="00E259D3" w:rsidRDefault="00E259D3" w:rsidP="00B37733">
            <w:pPr>
              <w:pStyle w:val="ListParagraph"/>
              <w:numPr>
                <w:ilvl w:val="0"/>
                <w:numId w:val="20"/>
              </w:numPr>
              <w:spacing w:after="0" w:line="240" w:lineRule="auto"/>
              <w:ind w:left="284" w:hanging="284"/>
              <w:contextualSpacing w:val="0"/>
              <w:jc w:val="both"/>
              <w:rPr>
                <w:rFonts w:ascii="Calibri" w:hAnsi="Calibri" w:cs="Calibri"/>
              </w:rPr>
            </w:pPr>
            <w:r w:rsidRPr="00E259D3">
              <w:rPr>
                <w:rFonts w:ascii="Calibri" w:hAnsi="Calibri" w:cs="Calibri"/>
                <w:color w:val="000000"/>
                <w:shd w:val="clear" w:color="auto" w:fill="FFFFFF"/>
              </w:rPr>
              <w:t>Sativex may interact with alcohol, affecting co-ordination, concentration and ability to respond quickly. In general, alcoholic beverages should be avoided whilst using Sativex, especially at the beginning of treatment or when changing dose.</w:t>
            </w:r>
          </w:p>
          <w:p w14:paraId="5A711A43" w14:textId="58709846" w:rsidR="00E259D3" w:rsidRPr="00E259D3" w:rsidRDefault="00E259D3" w:rsidP="00B37733">
            <w:pPr>
              <w:pStyle w:val="ListParagraph"/>
              <w:numPr>
                <w:ilvl w:val="0"/>
                <w:numId w:val="20"/>
              </w:numPr>
              <w:spacing w:after="0" w:line="240" w:lineRule="auto"/>
              <w:ind w:left="284" w:hanging="284"/>
              <w:contextualSpacing w:val="0"/>
              <w:jc w:val="both"/>
              <w:rPr>
                <w:rFonts w:ascii="Calibri" w:hAnsi="Calibri" w:cs="Calibri"/>
              </w:rPr>
            </w:pPr>
            <w:r w:rsidRPr="00E259D3">
              <w:rPr>
                <w:rFonts w:ascii="Calibri" w:hAnsi="Calibri" w:cs="Calibri"/>
                <w:color w:val="000000"/>
                <w:shd w:val="clear" w:color="auto" w:fill="FFFFFF"/>
              </w:rPr>
              <w:t xml:space="preserve">Sativex may reduce the effectiveness of systemically </w:t>
            </w:r>
            <w:r w:rsidR="00F82735">
              <w:rPr>
                <w:rFonts w:ascii="Calibri" w:hAnsi="Calibri" w:cs="Calibri"/>
                <w:color w:val="000000"/>
                <w:shd w:val="clear" w:color="auto" w:fill="FFFFFF"/>
              </w:rPr>
              <w:t>acting hormonal contraceptives;</w:t>
            </w:r>
            <w:r w:rsidRPr="00E259D3">
              <w:rPr>
                <w:rFonts w:ascii="Calibri" w:hAnsi="Calibri" w:cs="Calibri"/>
                <w:color w:val="000000"/>
                <w:shd w:val="clear" w:color="auto" w:fill="FFFFFF"/>
              </w:rPr>
              <w:t xml:space="preserve"> women using systemically acting hormonal contraceptives should add an additional second barrier method.</w:t>
            </w:r>
          </w:p>
          <w:p w14:paraId="561D758A" w14:textId="1FBDC172" w:rsidR="001F2FFE" w:rsidRPr="00405DA9" w:rsidRDefault="00E259D3" w:rsidP="00B37733">
            <w:pPr>
              <w:pStyle w:val="ListParagraph"/>
              <w:numPr>
                <w:ilvl w:val="0"/>
                <w:numId w:val="20"/>
              </w:numPr>
              <w:spacing w:after="0" w:line="240" w:lineRule="auto"/>
              <w:ind w:left="284" w:hanging="284"/>
              <w:contextualSpacing w:val="0"/>
              <w:jc w:val="both"/>
              <w:rPr>
                <w:rFonts w:ascii="Calibri" w:hAnsi="Calibri" w:cs="Calibri"/>
              </w:rPr>
            </w:pPr>
            <w:r w:rsidRPr="00E259D3">
              <w:rPr>
                <w:rFonts w:ascii="Calibri" w:hAnsi="Calibri" w:cs="Calibri"/>
              </w:rPr>
              <w:t>A component of Sativex, cannabidiol, increases risk of increased ALT concentrations when co-administered with valproate.  Manufacturer advises avoid or adjust dose.</w:t>
            </w:r>
          </w:p>
        </w:tc>
      </w:tr>
      <w:tr w:rsidR="001F2FFE" w:rsidRPr="00295135" w14:paraId="24EF260A" w14:textId="77777777" w:rsidTr="007C6E86">
        <w:trPr>
          <w:jc w:val="center"/>
        </w:trPr>
        <w:tc>
          <w:tcPr>
            <w:tcW w:w="2961" w:type="dxa"/>
            <w:shd w:val="clear" w:color="auto" w:fill="F2F2F2"/>
          </w:tcPr>
          <w:p w14:paraId="1833E6E6"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r>
              <w:rPr>
                <w:rFonts w:eastAsia="Times New Roman" w:cstheme="minorHAnsi"/>
                <w:b/>
                <w:sz w:val="24"/>
                <w:szCs w:val="24"/>
                <w:lang w:eastAsia="en-GB"/>
              </w:rPr>
              <w:t>8</w:t>
            </w:r>
            <w:r w:rsidRPr="00295135">
              <w:rPr>
                <w:rFonts w:eastAsia="Times New Roman" w:cstheme="minorHAnsi"/>
                <w:b/>
                <w:sz w:val="24"/>
                <w:szCs w:val="24"/>
                <w:lang w:eastAsia="en-GB"/>
              </w:rPr>
              <w:t xml:space="preserve">. Baseline </w:t>
            </w:r>
            <w:r>
              <w:rPr>
                <w:rFonts w:eastAsia="Times New Roman" w:cstheme="minorHAnsi"/>
                <w:b/>
                <w:sz w:val="24"/>
                <w:szCs w:val="24"/>
                <w:lang w:eastAsia="en-GB"/>
              </w:rPr>
              <w:t xml:space="preserve">investigations, initial monitoring  </w:t>
            </w:r>
            <w:r w:rsidRPr="00563482">
              <w:rPr>
                <w:rFonts w:eastAsia="Times New Roman" w:cstheme="minorHAnsi"/>
                <w:b/>
                <w:sz w:val="24"/>
                <w:szCs w:val="24"/>
                <w:lang w:eastAsia="en-GB"/>
              </w:rPr>
              <w:t>and ongoing monitoring</w:t>
            </w:r>
            <w:r>
              <w:rPr>
                <w:rFonts w:eastAsia="Times New Roman" w:cstheme="minorHAnsi"/>
                <w:b/>
                <w:sz w:val="24"/>
                <w:szCs w:val="24"/>
                <w:lang w:eastAsia="en-GB"/>
              </w:rPr>
              <w:t xml:space="preserve"> </w:t>
            </w:r>
            <w:r w:rsidRPr="001C06AA">
              <w:rPr>
                <w:rFonts w:eastAsia="Times New Roman" w:cstheme="minorHAnsi"/>
                <w:b/>
                <w:sz w:val="24"/>
                <w:szCs w:val="24"/>
                <w:lang w:eastAsia="en-GB"/>
              </w:rPr>
              <w:t>to</w:t>
            </w:r>
            <w:r w:rsidRPr="00295135">
              <w:rPr>
                <w:rFonts w:eastAsia="Times New Roman" w:cstheme="minorHAnsi"/>
                <w:b/>
                <w:sz w:val="24"/>
                <w:szCs w:val="24"/>
                <w:lang w:eastAsia="en-GB"/>
              </w:rPr>
              <w:t xml:space="preserve"> be undertaken by specialist</w:t>
            </w:r>
          </w:p>
        </w:tc>
        <w:tc>
          <w:tcPr>
            <w:tcW w:w="7494" w:type="dxa"/>
            <w:gridSpan w:val="3"/>
            <w:shd w:val="clear" w:color="auto" w:fill="auto"/>
          </w:tcPr>
          <w:p w14:paraId="1A2DC4A6" w14:textId="77777777" w:rsidR="001F2FFE" w:rsidRPr="00295135" w:rsidRDefault="001F2FFE" w:rsidP="00B37733">
            <w:pPr>
              <w:autoSpaceDE w:val="0"/>
              <w:autoSpaceDN w:val="0"/>
              <w:adjustRightInd w:val="0"/>
              <w:spacing w:after="0" w:line="240" w:lineRule="auto"/>
              <w:rPr>
                <w:rFonts w:eastAsia="Times New Roman" w:cstheme="minorHAnsi"/>
                <w:b/>
                <w:color w:val="000000"/>
                <w:lang w:eastAsia="en-GB"/>
              </w:rPr>
            </w:pPr>
            <w:r w:rsidRPr="00295135">
              <w:rPr>
                <w:rFonts w:eastAsia="Times New Roman" w:cstheme="minorHAnsi"/>
                <w:b/>
                <w:color w:val="000000"/>
                <w:lang w:eastAsia="en-GB"/>
              </w:rPr>
              <w:t>Baseline</w:t>
            </w:r>
            <w:r>
              <w:rPr>
                <w:rFonts w:eastAsia="Times New Roman" w:cstheme="minorHAnsi"/>
                <w:b/>
                <w:color w:val="000000"/>
                <w:lang w:eastAsia="en-GB"/>
              </w:rPr>
              <w:t xml:space="preserve"> investigations</w:t>
            </w:r>
            <w:r w:rsidRPr="00295135">
              <w:rPr>
                <w:rFonts w:eastAsia="Times New Roman" w:cstheme="minorHAnsi"/>
                <w:b/>
                <w:color w:val="000000"/>
                <w:lang w:eastAsia="en-GB"/>
              </w:rPr>
              <w:t>:</w:t>
            </w:r>
          </w:p>
          <w:p w14:paraId="52C3671A" w14:textId="15EBA69F" w:rsidR="001F2FFE" w:rsidRPr="00A54772" w:rsidRDefault="00A54772" w:rsidP="00B37733">
            <w:pPr>
              <w:numPr>
                <w:ilvl w:val="0"/>
                <w:numId w:val="1"/>
              </w:numPr>
              <w:autoSpaceDE w:val="0"/>
              <w:autoSpaceDN w:val="0"/>
              <w:adjustRightInd w:val="0"/>
              <w:spacing w:after="60" w:line="240" w:lineRule="auto"/>
              <w:ind w:left="357" w:hanging="357"/>
              <w:rPr>
                <w:rFonts w:eastAsia="Times New Roman" w:cstheme="minorHAnsi"/>
                <w:lang w:eastAsia="en-GB"/>
              </w:rPr>
            </w:pPr>
            <w:r w:rsidRPr="00A54772">
              <w:rPr>
                <w:rFonts w:eastAsia="Times New Roman" w:cstheme="minorHAnsi"/>
                <w:lang w:eastAsia="en-GB"/>
              </w:rPr>
              <w:t>Evaluation of the severity of spasticity-related symptoms</w:t>
            </w:r>
            <w:r>
              <w:rPr>
                <w:rFonts w:eastAsia="Times New Roman" w:cstheme="minorHAnsi"/>
                <w:lang w:eastAsia="en-GB"/>
              </w:rPr>
              <w:t>, and of the response to current anti-spasticity medication before treatment initiation</w:t>
            </w:r>
          </w:p>
          <w:p w14:paraId="36D459ED" w14:textId="77777777" w:rsidR="001F2FFE" w:rsidRPr="00295135" w:rsidRDefault="001F2FFE" w:rsidP="00B37733">
            <w:pPr>
              <w:autoSpaceDE w:val="0"/>
              <w:autoSpaceDN w:val="0"/>
              <w:adjustRightInd w:val="0"/>
              <w:spacing w:after="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p>
          <w:p w14:paraId="0B8AA587" w14:textId="6A20A6EA" w:rsidR="001F2FFE" w:rsidRPr="00A54772" w:rsidRDefault="001F2FFE" w:rsidP="00B37733">
            <w:pPr>
              <w:numPr>
                <w:ilvl w:val="0"/>
                <w:numId w:val="1"/>
              </w:numPr>
              <w:autoSpaceDE w:val="0"/>
              <w:autoSpaceDN w:val="0"/>
              <w:adjustRightInd w:val="0"/>
              <w:spacing w:after="0" w:line="240" w:lineRule="auto"/>
              <w:rPr>
                <w:rFonts w:eastAsia="Times New Roman" w:cstheme="minorHAnsi"/>
                <w:b/>
                <w:lang w:eastAsia="en-GB"/>
              </w:rPr>
            </w:pPr>
            <w:r>
              <w:rPr>
                <w:rFonts w:eastAsia="Times New Roman" w:cstheme="minorHAnsi"/>
                <w:lang w:eastAsia="en-GB"/>
              </w:rPr>
              <w:t xml:space="preserve">Monitoring at baseline and during initiation is the responsibility of the specialist, </w:t>
            </w:r>
            <w:r w:rsidR="00FE74BE">
              <w:rPr>
                <w:rFonts w:eastAsia="Times New Roman" w:cstheme="minorHAnsi"/>
                <w:lang w:eastAsia="en-GB"/>
              </w:rPr>
              <w:t>only once the</w:t>
            </w:r>
            <w:r w:rsidR="00FE74BE" w:rsidRPr="00FE74BE">
              <w:rPr>
                <w:rFonts w:eastAsia="Times New Roman" w:cstheme="minorHAnsi"/>
                <w:lang w:eastAsia="en-GB"/>
              </w:rPr>
              <w:t xml:space="preserve"> patient is optimised on the chosen medication with no anticipated further changes expected in immediate future </w:t>
            </w:r>
            <w:r>
              <w:rPr>
                <w:rFonts w:eastAsia="Times New Roman" w:cstheme="minorHAnsi"/>
                <w:lang w:eastAsia="en-GB"/>
              </w:rPr>
              <w:t>will prescribing and monitoring be transferred to the GP.</w:t>
            </w:r>
          </w:p>
          <w:p w14:paraId="01B046F0" w14:textId="2D8AEA88" w:rsidR="00A54772" w:rsidRDefault="00A54772" w:rsidP="00B37733">
            <w:pPr>
              <w:numPr>
                <w:ilvl w:val="0"/>
                <w:numId w:val="1"/>
              </w:numPr>
              <w:autoSpaceDE w:val="0"/>
              <w:autoSpaceDN w:val="0"/>
              <w:adjustRightInd w:val="0"/>
              <w:spacing w:after="60" w:line="240" w:lineRule="auto"/>
              <w:ind w:left="357" w:hanging="357"/>
              <w:rPr>
                <w:rFonts w:eastAsia="Times New Roman" w:cstheme="minorHAnsi"/>
                <w:lang w:eastAsia="en-GB"/>
              </w:rPr>
            </w:pPr>
            <w:r w:rsidRPr="00F82735">
              <w:rPr>
                <w:rFonts w:eastAsia="Times New Roman" w:cstheme="minorHAnsi"/>
                <w:lang w:eastAsia="en-GB"/>
              </w:rPr>
              <w:t>Response to treatment should be reviewed after four weeks</w:t>
            </w:r>
            <w:r w:rsidR="00F82735">
              <w:rPr>
                <w:rFonts w:eastAsia="Times New Roman" w:cstheme="minorHAnsi"/>
                <w:lang w:eastAsia="en-GB"/>
              </w:rPr>
              <w:t>.  T</w:t>
            </w:r>
            <w:r w:rsidR="00F82735" w:rsidRPr="00F82735">
              <w:rPr>
                <w:rFonts w:eastAsia="Times New Roman" w:cstheme="minorHAnsi"/>
                <w:lang w:eastAsia="en-GB"/>
              </w:rPr>
              <w:t xml:space="preserve">reatment </w:t>
            </w:r>
            <w:r w:rsidR="00F82735">
              <w:rPr>
                <w:rFonts w:eastAsia="Times New Roman" w:cstheme="minorHAnsi"/>
                <w:lang w:eastAsia="en-GB"/>
              </w:rPr>
              <w:t xml:space="preserve">should be </w:t>
            </w:r>
            <w:r w:rsidR="00F82735" w:rsidRPr="00F82735">
              <w:rPr>
                <w:rFonts w:eastAsia="Times New Roman" w:cstheme="minorHAnsi"/>
                <w:lang w:eastAsia="en-GB"/>
              </w:rPr>
              <w:t>stopped if the person does not show a clinically significant improvement (&gt;20% improvement in spasticity related symptoms on a 0-10 patient reported numeric rating scale)</w:t>
            </w:r>
          </w:p>
          <w:p w14:paraId="60FCEA02" w14:textId="7EBED956" w:rsidR="001F2FFE" w:rsidRPr="00E55DCD" w:rsidRDefault="001F2FFE" w:rsidP="00B37733">
            <w:pPr>
              <w:autoSpaceDE w:val="0"/>
              <w:autoSpaceDN w:val="0"/>
              <w:adjustRightInd w:val="0"/>
              <w:spacing w:after="0" w:line="240" w:lineRule="auto"/>
              <w:rPr>
                <w:rFonts w:eastAsia="Times New Roman" w:cstheme="minorHAnsi"/>
                <w:b/>
                <w:lang w:eastAsia="en-GB"/>
              </w:rPr>
            </w:pPr>
            <w:r w:rsidRPr="00E55DCD">
              <w:rPr>
                <w:rFonts w:eastAsia="Times New Roman" w:cstheme="minorHAnsi"/>
                <w:b/>
                <w:lang w:eastAsia="en-GB"/>
              </w:rPr>
              <w:t>Ongoing monitoring:</w:t>
            </w:r>
          </w:p>
          <w:p w14:paraId="08E8D08C" w14:textId="77777777" w:rsidR="00B37733" w:rsidRDefault="00F82735" w:rsidP="00B37733">
            <w:pPr>
              <w:numPr>
                <w:ilvl w:val="0"/>
                <w:numId w:val="1"/>
              </w:numPr>
              <w:autoSpaceDE w:val="0"/>
              <w:autoSpaceDN w:val="0"/>
              <w:adjustRightInd w:val="0"/>
              <w:spacing w:after="0" w:line="240" w:lineRule="auto"/>
              <w:ind w:left="56" w:hanging="284"/>
              <w:rPr>
                <w:rFonts w:eastAsia="Times New Roman" w:cstheme="minorHAnsi"/>
                <w:b/>
                <w:lang w:eastAsia="en-GB"/>
              </w:rPr>
            </w:pPr>
            <w:r w:rsidRPr="00345E33">
              <w:rPr>
                <w:rFonts w:eastAsia="Times New Roman" w:cstheme="minorHAnsi"/>
                <w:lang w:eastAsia="en-GB"/>
              </w:rPr>
              <w:t>Periodic review is required to assess the value of long-term treatment</w:t>
            </w:r>
          </w:p>
          <w:p w14:paraId="57CB14F0" w14:textId="26C9059B" w:rsidR="00B37733" w:rsidRPr="00B37733" w:rsidRDefault="00B37733" w:rsidP="00B37733">
            <w:pPr>
              <w:autoSpaceDE w:val="0"/>
              <w:autoSpaceDN w:val="0"/>
              <w:adjustRightInd w:val="0"/>
              <w:spacing w:after="0" w:line="240" w:lineRule="auto"/>
              <w:ind w:left="56"/>
              <w:rPr>
                <w:rFonts w:eastAsia="Times New Roman" w:cstheme="minorHAnsi"/>
                <w:b/>
                <w:lang w:eastAsia="en-GB"/>
              </w:rPr>
            </w:pPr>
          </w:p>
        </w:tc>
      </w:tr>
      <w:tr w:rsidR="001F2FFE" w:rsidRPr="00295135" w14:paraId="6695C431" w14:textId="77777777" w:rsidTr="00ED1025">
        <w:trPr>
          <w:trHeight w:val="413"/>
          <w:jc w:val="center"/>
        </w:trPr>
        <w:tc>
          <w:tcPr>
            <w:tcW w:w="2961" w:type="dxa"/>
            <w:vMerge w:val="restart"/>
            <w:shd w:val="clear" w:color="auto" w:fill="F2F2F2"/>
          </w:tcPr>
          <w:p w14:paraId="059301DD" w14:textId="77777777" w:rsidR="001F2FFE" w:rsidRPr="00563482" w:rsidRDefault="001F2FFE" w:rsidP="00686C75">
            <w:pPr>
              <w:spacing w:before="100" w:beforeAutospacing="1" w:after="0" w:line="264" w:lineRule="auto"/>
              <w:rPr>
                <w:rFonts w:eastAsia="Times New Roman" w:cstheme="minorHAnsi"/>
                <w:b/>
                <w:strike/>
                <w:sz w:val="24"/>
                <w:szCs w:val="24"/>
                <w:lang w:eastAsia="en-GB"/>
              </w:rPr>
            </w:pPr>
            <w:r>
              <w:rPr>
                <w:rFonts w:eastAsia="Times New Roman" w:cstheme="minorHAnsi"/>
                <w:b/>
                <w:sz w:val="24"/>
                <w:szCs w:val="24"/>
                <w:lang w:eastAsia="en-GB"/>
              </w:rPr>
              <w:t>9</w:t>
            </w:r>
            <w:r w:rsidRPr="00295135">
              <w:rPr>
                <w:rFonts w:eastAsia="Times New Roman" w:cstheme="minorHAnsi"/>
                <w:b/>
                <w:sz w:val="24"/>
                <w:szCs w:val="24"/>
                <w:lang w:eastAsia="en-GB"/>
              </w:rPr>
              <w:t xml:space="preserve">. </w:t>
            </w:r>
            <w:r w:rsidRPr="00563482">
              <w:rPr>
                <w:rFonts w:eastAsia="Times New Roman" w:cstheme="minorHAnsi"/>
                <w:b/>
                <w:sz w:val="24"/>
                <w:szCs w:val="24"/>
                <w:lang w:eastAsia="en-GB"/>
              </w:rPr>
              <w:t>Ongoing monitoring requirements to be undertaken by primary care</w:t>
            </w:r>
            <w:r w:rsidRPr="00563482">
              <w:rPr>
                <w:rFonts w:eastAsia="Times New Roman" w:cstheme="minorHAnsi"/>
                <w:b/>
                <w:strike/>
                <w:sz w:val="24"/>
                <w:szCs w:val="24"/>
                <w:lang w:eastAsia="en-GB"/>
              </w:rPr>
              <w:t>.</w:t>
            </w:r>
          </w:p>
          <w:p w14:paraId="73BB1F8C" w14:textId="4682DD75" w:rsidR="00B37733" w:rsidRPr="00B37733" w:rsidRDefault="001F2FFE" w:rsidP="00686C75">
            <w:pPr>
              <w:spacing w:after="100" w:afterAutospacing="1" w:line="264" w:lineRule="auto"/>
              <w:rPr>
                <w:rFonts w:eastAsia="Times New Roman" w:cstheme="minorHAnsi"/>
                <w:iCs/>
                <w:color w:val="000000"/>
                <w:sz w:val="16"/>
                <w:lang w:eastAsia="en-GB"/>
              </w:rPr>
            </w:pPr>
            <w:r w:rsidRPr="00563482">
              <w:rPr>
                <w:rFonts w:eastAsia="Times New Roman" w:cstheme="minorHAnsi"/>
                <w:iCs/>
                <w:color w:val="000000"/>
                <w:sz w:val="16"/>
                <w:lang w:eastAsia="en-GB"/>
              </w:rPr>
              <w:t>See section 10 for further guidance on management of adverse effects/ responding to monitoring results.</w:t>
            </w:r>
          </w:p>
        </w:tc>
        <w:tc>
          <w:tcPr>
            <w:tcW w:w="3566" w:type="dxa"/>
            <w:gridSpan w:val="2"/>
            <w:shd w:val="clear" w:color="auto" w:fill="F2F2F2" w:themeFill="background1" w:themeFillShade="F2"/>
          </w:tcPr>
          <w:p w14:paraId="6CB63AC3" w14:textId="77777777" w:rsidR="001F2FFE" w:rsidRPr="00295135" w:rsidRDefault="001F2FFE" w:rsidP="00345E33">
            <w:pPr>
              <w:spacing w:after="0" w:line="264" w:lineRule="auto"/>
              <w:jc w:val="center"/>
              <w:rPr>
                <w:rFonts w:eastAsia="Times New Roman" w:cstheme="minorHAnsi"/>
                <w:sz w:val="24"/>
                <w:szCs w:val="24"/>
                <w:lang w:eastAsia="en-GB"/>
              </w:rPr>
            </w:pPr>
            <w:r w:rsidRPr="00295135">
              <w:rPr>
                <w:rFonts w:eastAsia="Times New Roman" w:cstheme="minorHAnsi"/>
                <w:sz w:val="24"/>
                <w:szCs w:val="24"/>
                <w:lang w:eastAsia="en-GB"/>
              </w:rPr>
              <w:t>Monitoring</w:t>
            </w:r>
          </w:p>
        </w:tc>
        <w:tc>
          <w:tcPr>
            <w:tcW w:w="3928" w:type="dxa"/>
            <w:shd w:val="clear" w:color="auto" w:fill="F2F2F2" w:themeFill="background1" w:themeFillShade="F2"/>
          </w:tcPr>
          <w:p w14:paraId="25F94340" w14:textId="77777777" w:rsidR="001F2FFE" w:rsidRPr="00295135" w:rsidRDefault="001F2FFE" w:rsidP="00345E33">
            <w:pPr>
              <w:spacing w:after="0" w:line="264" w:lineRule="auto"/>
              <w:jc w:val="center"/>
              <w:rPr>
                <w:rFonts w:eastAsia="Times New Roman" w:cstheme="minorHAnsi"/>
                <w:sz w:val="24"/>
                <w:szCs w:val="24"/>
                <w:lang w:eastAsia="en-GB"/>
              </w:rPr>
            </w:pPr>
            <w:r w:rsidRPr="00295135">
              <w:rPr>
                <w:rFonts w:eastAsia="Times New Roman" w:cstheme="minorHAnsi"/>
                <w:sz w:val="24"/>
                <w:szCs w:val="24"/>
                <w:lang w:eastAsia="en-GB"/>
              </w:rPr>
              <w:t>Frequency</w:t>
            </w:r>
          </w:p>
        </w:tc>
      </w:tr>
      <w:tr w:rsidR="001F2FFE" w:rsidRPr="00295135" w14:paraId="7849A74B" w14:textId="77777777" w:rsidTr="007C6E86">
        <w:trPr>
          <w:trHeight w:val="1694"/>
          <w:jc w:val="center"/>
        </w:trPr>
        <w:tc>
          <w:tcPr>
            <w:tcW w:w="2961" w:type="dxa"/>
            <w:vMerge/>
            <w:shd w:val="clear" w:color="auto" w:fill="F2F2F2"/>
          </w:tcPr>
          <w:p w14:paraId="1A9472C1" w14:textId="77777777" w:rsidR="001F2FFE" w:rsidRPr="00295135" w:rsidRDefault="001F2FFE" w:rsidP="00345E33">
            <w:pPr>
              <w:spacing w:before="100" w:beforeAutospacing="1" w:after="100" w:afterAutospacing="1" w:line="264" w:lineRule="auto"/>
              <w:rPr>
                <w:rFonts w:eastAsia="Times New Roman" w:cstheme="minorHAnsi"/>
                <w:b/>
                <w:sz w:val="24"/>
                <w:szCs w:val="24"/>
                <w:lang w:eastAsia="en-GB"/>
              </w:rPr>
            </w:pPr>
          </w:p>
        </w:tc>
        <w:tc>
          <w:tcPr>
            <w:tcW w:w="3566" w:type="dxa"/>
            <w:gridSpan w:val="2"/>
            <w:shd w:val="clear" w:color="auto" w:fill="auto"/>
          </w:tcPr>
          <w:p w14:paraId="1C814879" w14:textId="77777777" w:rsidR="001F2FFE" w:rsidRDefault="00F82735" w:rsidP="00345E33">
            <w:pPr>
              <w:autoSpaceDE w:val="0"/>
              <w:autoSpaceDN w:val="0"/>
              <w:adjustRightInd w:val="0"/>
              <w:spacing w:line="264" w:lineRule="auto"/>
              <w:rPr>
                <w:rFonts w:eastAsia="Times New Roman" w:cstheme="minorHAnsi"/>
                <w:color w:val="000000"/>
                <w:lang w:eastAsia="en-GB"/>
              </w:rPr>
            </w:pPr>
            <w:r w:rsidRPr="00F82735">
              <w:rPr>
                <w:rFonts w:eastAsia="Times New Roman" w:cstheme="minorHAnsi"/>
                <w:color w:val="000000"/>
                <w:lang w:eastAsia="en-GB"/>
              </w:rPr>
              <w:t>Review of continuing effectiveness of treatment</w:t>
            </w:r>
          </w:p>
          <w:p w14:paraId="460F77A0" w14:textId="77777777" w:rsidR="00B37733" w:rsidRDefault="00B37733" w:rsidP="00345E33">
            <w:pPr>
              <w:autoSpaceDE w:val="0"/>
              <w:autoSpaceDN w:val="0"/>
              <w:adjustRightInd w:val="0"/>
              <w:spacing w:line="264" w:lineRule="auto"/>
              <w:rPr>
                <w:rFonts w:eastAsia="Times New Roman" w:cstheme="minorHAnsi"/>
                <w:color w:val="000000"/>
                <w:lang w:eastAsia="en-GB"/>
              </w:rPr>
            </w:pPr>
          </w:p>
          <w:p w14:paraId="01D22B4B" w14:textId="11640B3A" w:rsidR="00B37733" w:rsidRPr="00F82735" w:rsidRDefault="00B37733" w:rsidP="00345E33">
            <w:pPr>
              <w:autoSpaceDE w:val="0"/>
              <w:autoSpaceDN w:val="0"/>
              <w:adjustRightInd w:val="0"/>
              <w:spacing w:line="264" w:lineRule="auto"/>
              <w:rPr>
                <w:rFonts w:eastAsia="Times New Roman" w:cstheme="minorHAnsi"/>
                <w:color w:val="000000"/>
                <w:lang w:eastAsia="en-GB"/>
              </w:rPr>
            </w:pPr>
          </w:p>
        </w:tc>
        <w:tc>
          <w:tcPr>
            <w:tcW w:w="3928" w:type="dxa"/>
            <w:shd w:val="clear" w:color="auto" w:fill="auto"/>
          </w:tcPr>
          <w:p w14:paraId="2AC23A77" w14:textId="234B78C2" w:rsidR="001F2FFE" w:rsidRPr="00295135" w:rsidRDefault="001F2FFE" w:rsidP="00345E33">
            <w:pPr>
              <w:spacing w:after="0" w:line="264" w:lineRule="auto"/>
              <w:rPr>
                <w:rFonts w:eastAsia="Times New Roman" w:cstheme="minorHAnsi"/>
                <w:iCs/>
                <w:color w:val="000000"/>
                <w:lang w:eastAsia="en-GB"/>
              </w:rPr>
            </w:pPr>
          </w:p>
        </w:tc>
      </w:tr>
      <w:tr w:rsidR="001F2FFE" w:rsidRPr="00295135" w14:paraId="042BD065" w14:textId="77777777" w:rsidTr="00ED1025">
        <w:trPr>
          <w:trHeight w:val="61"/>
          <w:jc w:val="center"/>
        </w:trPr>
        <w:tc>
          <w:tcPr>
            <w:tcW w:w="2961" w:type="dxa"/>
            <w:vMerge w:val="restart"/>
            <w:shd w:val="clear" w:color="auto" w:fill="F2F2F2"/>
          </w:tcPr>
          <w:p w14:paraId="3CA3CDB3" w14:textId="77777777" w:rsidR="001F2FFE" w:rsidRPr="00877628" w:rsidRDefault="001F2FFE" w:rsidP="00E337B7">
            <w:pPr>
              <w:spacing w:before="100" w:beforeAutospacing="1" w:after="0" w:line="264" w:lineRule="auto"/>
              <w:rPr>
                <w:rFonts w:eastAsia="Times New Roman" w:cstheme="minorHAnsi"/>
                <w:b/>
                <w:sz w:val="24"/>
                <w:szCs w:val="24"/>
                <w:lang w:eastAsia="en-GB"/>
              </w:rPr>
            </w:pPr>
            <w:r w:rsidRPr="00295135">
              <w:rPr>
                <w:rFonts w:eastAsia="Times New Roman" w:cstheme="minorHAnsi"/>
                <w:b/>
                <w:sz w:val="24"/>
                <w:szCs w:val="24"/>
                <w:lang w:eastAsia="en-GB"/>
              </w:rPr>
              <w:lastRenderedPageBreak/>
              <w:t xml:space="preserve">10. Adverse </w:t>
            </w:r>
            <w:r>
              <w:rPr>
                <w:rFonts w:eastAsia="Times New Roman" w:cstheme="minorHAnsi"/>
                <w:b/>
                <w:sz w:val="24"/>
                <w:szCs w:val="24"/>
                <w:lang w:eastAsia="en-GB"/>
              </w:rPr>
              <w:t>e</w:t>
            </w:r>
            <w:r w:rsidRPr="00295135">
              <w:rPr>
                <w:rFonts w:eastAsia="Times New Roman" w:cstheme="minorHAnsi"/>
                <w:b/>
                <w:sz w:val="24"/>
                <w:szCs w:val="24"/>
                <w:lang w:eastAsia="en-GB"/>
              </w:rPr>
              <w:t>ffects and managements</w:t>
            </w:r>
          </w:p>
          <w:p w14:paraId="59C40AF1" w14:textId="36794CBF" w:rsidR="001F2FFE" w:rsidRPr="00080C62" w:rsidRDefault="001F2FFE" w:rsidP="00345E33">
            <w:pPr>
              <w:pStyle w:val="Default"/>
              <w:spacing w:line="264" w:lineRule="auto"/>
              <w:rPr>
                <w:rFonts w:asciiTheme="minorHAnsi" w:hAnsiTheme="minorHAnsi" w:cstheme="minorHAnsi"/>
                <w:bCs/>
                <w:sz w:val="20"/>
                <w:szCs w:val="20"/>
              </w:rPr>
            </w:pPr>
            <w:r w:rsidRPr="00877628">
              <w:rPr>
                <w:rFonts w:asciiTheme="minorHAnsi" w:hAnsiTheme="minorHAnsi" w:cstheme="minorHAnsi"/>
                <w:b/>
                <w:bCs/>
                <w:color w:val="auto"/>
                <w:sz w:val="20"/>
                <w:szCs w:val="20"/>
              </w:rPr>
              <w:t>Any serious adverse reaction</w:t>
            </w:r>
            <w:r>
              <w:rPr>
                <w:rFonts w:asciiTheme="minorHAnsi" w:hAnsiTheme="minorHAnsi" w:cstheme="minorHAnsi"/>
                <w:b/>
                <w:bCs/>
                <w:color w:val="auto"/>
                <w:sz w:val="20"/>
                <w:szCs w:val="20"/>
              </w:rPr>
              <w:t>s</w:t>
            </w:r>
            <w:r w:rsidRPr="00877628">
              <w:rPr>
                <w:rFonts w:asciiTheme="minorHAnsi" w:hAnsiTheme="minorHAnsi" w:cstheme="minorHAnsi"/>
                <w:b/>
                <w:bCs/>
                <w:color w:val="auto"/>
                <w:sz w:val="20"/>
                <w:szCs w:val="20"/>
              </w:rPr>
              <w:t xml:space="preserve"> should be reported to the MHRA via the Yellow Card scheme </w:t>
            </w:r>
            <w:hyperlink r:id="rId17" w:tooltip="http://www.mhra.gov.uk/yellowcard" w:history="1">
              <w:r w:rsidRPr="00877628">
                <w:rPr>
                  <w:rStyle w:val="Hyperlink"/>
                  <w:rFonts w:asciiTheme="minorHAnsi" w:eastAsia="Calibri" w:hAnsiTheme="minorHAnsi" w:cstheme="minorHAnsi"/>
                  <w:noProof/>
                  <w:sz w:val="20"/>
                  <w:szCs w:val="20"/>
                  <w:lang w:eastAsia="en-GB"/>
                </w:rPr>
                <w:t>www.mhra.gov.uk/yellowcard</w:t>
              </w:r>
            </w:hyperlink>
          </w:p>
        </w:tc>
        <w:tc>
          <w:tcPr>
            <w:tcW w:w="3566" w:type="dxa"/>
            <w:gridSpan w:val="2"/>
            <w:shd w:val="clear" w:color="auto" w:fill="F2F2F2" w:themeFill="background1" w:themeFillShade="F2"/>
          </w:tcPr>
          <w:p w14:paraId="50E49964" w14:textId="77777777" w:rsidR="001F2FFE" w:rsidRPr="00295135" w:rsidRDefault="001F2FFE" w:rsidP="00345E33">
            <w:pPr>
              <w:spacing w:before="100" w:beforeAutospacing="1" w:after="100" w:afterAutospacing="1" w:line="264" w:lineRule="auto"/>
              <w:jc w:val="center"/>
              <w:rPr>
                <w:rFonts w:eastAsia="Times New Roman" w:cstheme="minorHAnsi"/>
                <w:sz w:val="24"/>
                <w:szCs w:val="24"/>
                <w:lang w:eastAsia="en-GB"/>
              </w:rPr>
            </w:pPr>
            <w:r w:rsidRPr="00295135">
              <w:rPr>
                <w:rFonts w:eastAsia="Times New Roman" w:cstheme="minorHAnsi"/>
                <w:sz w:val="24"/>
                <w:szCs w:val="24"/>
                <w:lang w:eastAsia="en-GB"/>
              </w:rPr>
              <w:t>Result</w:t>
            </w:r>
          </w:p>
        </w:tc>
        <w:tc>
          <w:tcPr>
            <w:tcW w:w="3928" w:type="dxa"/>
            <w:shd w:val="clear" w:color="auto" w:fill="F2F2F2" w:themeFill="background1" w:themeFillShade="F2"/>
          </w:tcPr>
          <w:p w14:paraId="6CDD62FF" w14:textId="77777777" w:rsidR="001F2FFE" w:rsidRPr="00295135" w:rsidRDefault="001F2FFE" w:rsidP="00345E33">
            <w:pPr>
              <w:spacing w:before="100" w:beforeAutospacing="1" w:after="100" w:afterAutospacing="1" w:line="264" w:lineRule="auto"/>
              <w:jc w:val="center"/>
              <w:rPr>
                <w:rFonts w:eastAsia="Times New Roman" w:cstheme="minorHAnsi"/>
                <w:sz w:val="24"/>
                <w:szCs w:val="24"/>
                <w:lang w:eastAsia="en-GB"/>
              </w:rPr>
            </w:pPr>
            <w:r w:rsidRPr="00295135">
              <w:rPr>
                <w:rFonts w:eastAsia="Times New Roman" w:cstheme="minorHAnsi"/>
                <w:sz w:val="24"/>
                <w:szCs w:val="24"/>
                <w:lang w:eastAsia="en-GB"/>
              </w:rPr>
              <w:t>Action</w:t>
            </w:r>
            <w:r>
              <w:rPr>
                <w:rFonts w:eastAsia="Times New Roman" w:cstheme="minorHAnsi"/>
                <w:sz w:val="24"/>
                <w:szCs w:val="24"/>
                <w:lang w:eastAsia="en-GB"/>
              </w:rPr>
              <w:t xml:space="preserve"> </w:t>
            </w:r>
            <w:r w:rsidRPr="00563482">
              <w:rPr>
                <w:rFonts w:eastAsia="Times New Roman" w:cstheme="minorHAnsi"/>
                <w:sz w:val="24"/>
                <w:szCs w:val="24"/>
                <w:lang w:eastAsia="en-GB"/>
              </w:rPr>
              <w:t>for GP</w:t>
            </w:r>
          </w:p>
        </w:tc>
      </w:tr>
      <w:tr w:rsidR="001F2FFE" w:rsidRPr="00295135" w14:paraId="626FCDC6" w14:textId="77777777" w:rsidTr="001F2FFE">
        <w:trPr>
          <w:trHeight w:val="240"/>
          <w:jc w:val="center"/>
        </w:trPr>
        <w:tc>
          <w:tcPr>
            <w:tcW w:w="2961" w:type="dxa"/>
            <w:vMerge/>
            <w:shd w:val="clear" w:color="auto" w:fill="F2F2F2"/>
          </w:tcPr>
          <w:p w14:paraId="33079337" w14:textId="77777777" w:rsidR="001F2FFE" w:rsidRPr="00295135" w:rsidRDefault="001F2FFE" w:rsidP="00345E33">
            <w:pPr>
              <w:spacing w:before="100" w:beforeAutospacing="1" w:after="0" w:line="264" w:lineRule="auto"/>
              <w:rPr>
                <w:rFonts w:eastAsia="Times New Roman" w:cstheme="minorHAnsi"/>
                <w:b/>
                <w:sz w:val="24"/>
                <w:szCs w:val="24"/>
                <w:lang w:eastAsia="en-GB"/>
              </w:rPr>
            </w:pPr>
          </w:p>
        </w:tc>
        <w:tc>
          <w:tcPr>
            <w:tcW w:w="3566" w:type="dxa"/>
            <w:gridSpan w:val="2"/>
            <w:shd w:val="clear" w:color="auto" w:fill="auto"/>
          </w:tcPr>
          <w:p w14:paraId="6765DF38" w14:textId="3F091B75" w:rsidR="001F2FFE" w:rsidRPr="00686C75" w:rsidRDefault="00F82735" w:rsidP="00345E33">
            <w:pPr>
              <w:spacing w:after="0" w:line="264" w:lineRule="auto"/>
              <w:rPr>
                <w:rFonts w:eastAsia="Times New Roman" w:cstheme="minorHAnsi"/>
                <w:lang w:eastAsia="en-GB"/>
              </w:rPr>
            </w:pPr>
            <w:r w:rsidRPr="00686C75">
              <w:rPr>
                <w:rFonts w:eastAsia="Times New Roman" w:cstheme="minorHAnsi"/>
                <w:lang w:eastAsia="en-GB"/>
              </w:rPr>
              <w:t xml:space="preserve">Psychiatric symptoms: </w:t>
            </w:r>
            <w:r w:rsidRPr="00686C75">
              <w:rPr>
                <w:rFonts w:cstheme="minorHAnsi"/>
                <w:color w:val="000000"/>
                <w:shd w:val="clear" w:color="auto" w:fill="FFFFFF"/>
              </w:rPr>
              <w:t>anxiety, illusions, changes in mood, and paranoid ideas</w:t>
            </w:r>
          </w:p>
        </w:tc>
        <w:tc>
          <w:tcPr>
            <w:tcW w:w="3928" w:type="dxa"/>
            <w:shd w:val="clear" w:color="auto" w:fill="auto"/>
          </w:tcPr>
          <w:p w14:paraId="4A315AA8" w14:textId="4E35BAFF" w:rsidR="001F2FFE" w:rsidRPr="00686C75" w:rsidRDefault="00345E33" w:rsidP="00345E33">
            <w:pPr>
              <w:spacing w:before="100" w:beforeAutospacing="1" w:after="0" w:line="264" w:lineRule="auto"/>
              <w:rPr>
                <w:rFonts w:eastAsia="Times New Roman" w:cstheme="minorHAnsi"/>
                <w:lang w:eastAsia="en-GB"/>
              </w:rPr>
            </w:pPr>
            <w:r w:rsidRPr="00686C75">
              <w:rPr>
                <w:rFonts w:eastAsia="Times New Roman" w:cstheme="minorHAnsi"/>
                <w:lang w:eastAsia="en-GB"/>
              </w:rPr>
              <w:t>Discuss options: reduction in dose or cessation of treatment.  Assess patient experience of treatment efficacy</w:t>
            </w:r>
          </w:p>
        </w:tc>
      </w:tr>
      <w:tr w:rsidR="001F2FFE" w:rsidRPr="00295135" w14:paraId="2008B3A6" w14:textId="77777777" w:rsidTr="000A1C3F">
        <w:trPr>
          <w:jc w:val="center"/>
        </w:trPr>
        <w:tc>
          <w:tcPr>
            <w:tcW w:w="2961" w:type="dxa"/>
            <w:shd w:val="clear" w:color="auto" w:fill="F2F2F2"/>
          </w:tcPr>
          <w:p w14:paraId="721ADC06" w14:textId="77777777" w:rsidR="001F2FFE" w:rsidRPr="00295135" w:rsidRDefault="001F2FFE" w:rsidP="00345E33">
            <w:pPr>
              <w:spacing w:before="100" w:beforeAutospacing="1" w:after="0" w:line="264" w:lineRule="auto"/>
              <w:rPr>
                <w:rFonts w:eastAsia="Times New Roman" w:cstheme="minorHAnsi"/>
                <w:b/>
                <w:sz w:val="24"/>
                <w:szCs w:val="24"/>
                <w:lang w:eastAsia="en-GB"/>
              </w:rPr>
            </w:pPr>
            <w:r w:rsidRPr="00295135">
              <w:rPr>
                <w:rFonts w:eastAsia="Times New Roman" w:cstheme="minorHAnsi"/>
                <w:b/>
                <w:sz w:val="24"/>
                <w:szCs w:val="24"/>
                <w:lang w:eastAsia="en-GB"/>
              </w:rPr>
              <w:t>11. Advice to patients and carers</w:t>
            </w:r>
          </w:p>
          <w:p w14:paraId="0B77CDAA" w14:textId="77777777" w:rsidR="001F2FFE" w:rsidRPr="00295135" w:rsidRDefault="001F2FFE" w:rsidP="00345E33">
            <w:pPr>
              <w:spacing w:after="100" w:afterAutospacing="1" w:line="264" w:lineRule="auto"/>
              <w:rPr>
                <w:rFonts w:eastAsia="Times New Roman" w:cstheme="minorHAnsi"/>
                <w:b/>
                <w:sz w:val="24"/>
                <w:szCs w:val="24"/>
                <w:lang w:eastAsia="en-GB"/>
              </w:rPr>
            </w:pPr>
            <w:r w:rsidRPr="00295135">
              <w:rPr>
                <w:rFonts w:eastAsia="Times New Roman" w:cstheme="minorHAnsi"/>
                <w:sz w:val="16"/>
                <w:szCs w:val="24"/>
                <w:lang w:eastAsia="en-GB"/>
              </w:rPr>
              <w:t xml:space="preserve">The specialist will counsel the patient with regard to the benefits and risks of treatment and will provide the patient with any relevant information and advice, including patient information leaflets on individual </w:t>
            </w:r>
            <w:r>
              <w:rPr>
                <w:rFonts w:eastAsia="Times New Roman" w:cstheme="minorHAnsi"/>
                <w:sz w:val="16"/>
                <w:szCs w:val="24"/>
                <w:lang w:eastAsia="en-GB"/>
              </w:rPr>
              <w:t>medicines</w:t>
            </w:r>
            <w:r w:rsidRPr="00295135">
              <w:rPr>
                <w:rFonts w:eastAsia="Times New Roman" w:cstheme="minorHAnsi"/>
                <w:sz w:val="16"/>
                <w:szCs w:val="24"/>
                <w:lang w:eastAsia="en-GB"/>
              </w:rPr>
              <w:t>.</w:t>
            </w:r>
          </w:p>
        </w:tc>
        <w:tc>
          <w:tcPr>
            <w:tcW w:w="7494" w:type="dxa"/>
            <w:gridSpan w:val="3"/>
            <w:shd w:val="clear" w:color="auto" w:fill="auto"/>
          </w:tcPr>
          <w:p w14:paraId="4044EA16" w14:textId="29948BEF" w:rsidR="001F2FFE" w:rsidRPr="006770B0" w:rsidRDefault="001F2FFE" w:rsidP="00B37733">
            <w:pPr>
              <w:spacing w:after="0" w:line="240" w:lineRule="auto"/>
              <w:rPr>
                <w:rFonts w:eastAsia="Times New Roman" w:cstheme="minorHAnsi"/>
                <w:b/>
                <w:szCs w:val="24"/>
                <w:lang w:eastAsia="en-GB"/>
              </w:rPr>
            </w:pPr>
            <w:r w:rsidRPr="006770B0">
              <w:rPr>
                <w:rFonts w:eastAsia="Times New Roman" w:cstheme="minorHAnsi"/>
                <w:b/>
                <w:szCs w:val="24"/>
                <w:lang w:eastAsia="en-GB"/>
              </w:rPr>
              <w:t>The patient</w:t>
            </w:r>
            <w:r w:rsidR="00345E33">
              <w:rPr>
                <w:rFonts w:eastAsia="Times New Roman" w:cstheme="minorHAnsi"/>
                <w:b/>
                <w:szCs w:val="24"/>
                <w:lang w:eastAsia="en-GB"/>
              </w:rPr>
              <w:t xml:space="preserve"> (or their carer)</w:t>
            </w:r>
            <w:r w:rsidRPr="006770B0">
              <w:rPr>
                <w:rFonts w:eastAsia="Times New Roman" w:cstheme="minorHAnsi"/>
                <w:b/>
                <w:szCs w:val="24"/>
                <w:lang w:eastAsia="en-GB"/>
              </w:rPr>
              <w:t xml:space="preserve"> should be advised to report any of the following signs or symptoms to their GP without delay:           </w:t>
            </w:r>
          </w:p>
          <w:p w14:paraId="1B856F06" w14:textId="77777777" w:rsidR="001F2FFE" w:rsidRPr="00345E33" w:rsidRDefault="00345E33" w:rsidP="00B37733">
            <w:pPr>
              <w:pStyle w:val="ListParagraph"/>
              <w:numPr>
                <w:ilvl w:val="0"/>
                <w:numId w:val="1"/>
              </w:numPr>
              <w:spacing w:after="0" w:line="240" w:lineRule="auto"/>
              <w:contextualSpacing w:val="0"/>
              <w:rPr>
                <w:rFonts w:eastAsia="Times New Roman" w:cstheme="minorHAnsi"/>
                <w:szCs w:val="24"/>
                <w:lang w:eastAsia="en-GB"/>
              </w:rPr>
            </w:pPr>
            <w:r w:rsidRPr="00345E33">
              <w:rPr>
                <w:rFonts w:eastAsia="Times New Roman" w:cstheme="minorHAnsi"/>
                <w:szCs w:val="24"/>
                <w:lang w:eastAsia="en-GB"/>
              </w:rPr>
              <w:t>D</w:t>
            </w:r>
            <w:r w:rsidR="00F82735" w:rsidRPr="00345E33">
              <w:rPr>
                <w:rFonts w:eastAsia="Times New Roman" w:cstheme="minorHAnsi"/>
                <w:szCs w:val="24"/>
                <w:lang w:eastAsia="en-GB"/>
              </w:rPr>
              <w:t>isorientation (or confusion), hallucinations, delusional beliefs or transient psychotic reactions.  In a few cases in clinical development a causal association between Sativex administration and suicidal ideation could not be ruled out</w:t>
            </w:r>
          </w:p>
          <w:p w14:paraId="3F28EC94" w14:textId="2749CA85" w:rsidR="00345E33" w:rsidRPr="006770B0" w:rsidRDefault="00345E33" w:rsidP="00B37733">
            <w:pPr>
              <w:pStyle w:val="ListParagraph"/>
              <w:numPr>
                <w:ilvl w:val="0"/>
                <w:numId w:val="1"/>
              </w:numPr>
              <w:spacing w:after="0" w:line="240" w:lineRule="auto"/>
              <w:contextualSpacing w:val="0"/>
              <w:rPr>
                <w:rFonts w:eastAsia="Times New Roman" w:cstheme="minorHAnsi"/>
                <w:sz w:val="24"/>
                <w:szCs w:val="24"/>
                <w:lang w:eastAsia="en-GB"/>
              </w:rPr>
            </w:pPr>
            <w:r w:rsidRPr="00345E33">
              <w:rPr>
                <w:rFonts w:eastAsia="Times New Roman" w:cstheme="minorHAnsi"/>
                <w:szCs w:val="24"/>
                <w:lang w:eastAsia="en-GB"/>
              </w:rPr>
              <w:t>Advise that there may be an increased risk of falls, due to factors such as increased dizziness, reduced spasticity or potentially additive effects with other anti-spasticity medications on muscle relaxation</w:t>
            </w:r>
          </w:p>
        </w:tc>
      </w:tr>
      <w:tr w:rsidR="001F2FFE" w:rsidRPr="00295135" w14:paraId="79305DF7" w14:textId="77777777" w:rsidTr="007C6E86">
        <w:trPr>
          <w:jc w:val="center"/>
        </w:trPr>
        <w:tc>
          <w:tcPr>
            <w:tcW w:w="2961" w:type="dxa"/>
            <w:shd w:val="clear" w:color="auto" w:fill="F2F2F2"/>
          </w:tcPr>
          <w:p w14:paraId="08E09E88" w14:textId="77777777" w:rsidR="001F2FFE" w:rsidRPr="00295135" w:rsidRDefault="001F2FFE" w:rsidP="00345E33">
            <w:pPr>
              <w:spacing w:before="100" w:beforeAutospacing="1" w:after="0" w:line="264" w:lineRule="auto"/>
              <w:rPr>
                <w:rFonts w:eastAsia="Times New Roman" w:cstheme="minorHAnsi"/>
                <w:b/>
                <w:sz w:val="24"/>
                <w:szCs w:val="24"/>
                <w:lang w:eastAsia="en-GB"/>
              </w:rPr>
            </w:pPr>
            <w:r w:rsidRPr="00295135">
              <w:rPr>
                <w:rFonts w:eastAsia="Times New Roman" w:cstheme="minorHAnsi"/>
                <w:b/>
                <w:sz w:val="24"/>
                <w:szCs w:val="24"/>
                <w:lang w:eastAsia="en-GB"/>
              </w:rPr>
              <w:t>12. Pregnancy</w:t>
            </w:r>
            <w:r>
              <w:rPr>
                <w:rFonts w:eastAsia="Times New Roman" w:cstheme="minorHAnsi"/>
                <w:b/>
                <w:sz w:val="24"/>
                <w:szCs w:val="24"/>
                <w:lang w:eastAsia="en-GB"/>
              </w:rPr>
              <w:t xml:space="preserve">, </w:t>
            </w:r>
            <w:r w:rsidRPr="00563482">
              <w:rPr>
                <w:rFonts w:eastAsia="Times New Roman" w:cstheme="minorHAnsi"/>
                <w:b/>
                <w:sz w:val="24"/>
                <w:szCs w:val="24"/>
                <w:lang w:eastAsia="en-GB"/>
              </w:rPr>
              <w:t>paternal exposure and</w:t>
            </w:r>
            <w:r w:rsidRPr="00295135">
              <w:rPr>
                <w:rFonts w:eastAsia="Times New Roman" w:cstheme="minorHAnsi"/>
                <w:b/>
                <w:sz w:val="24"/>
                <w:szCs w:val="24"/>
                <w:lang w:eastAsia="en-GB"/>
              </w:rPr>
              <w:t xml:space="preserve"> breast feeding</w:t>
            </w:r>
          </w:p>
          <w:p w14:paraId="2C2E75DD" w14:textId="77777777" w:rsidR="001F2FFE" w:rsidRPr="00295135" w:rsidRDefault="001F2FFE" w:rsidP="00345E33">
            <w:pPr>
              <w:spacing w:after="100" w:afterAutospacing="1" w:line="264" w:lineRule="auto"/>
              <w:rPr>
                <w:rFonts w:eastAsia="Times New Roman" w:cstheme="minorHAnsi"/>
                <w:sz w:val="24"/>
                <w:szCs w:val="24"/>
                <w:lang w:eastAsia="en-GB"/>
              </w:rPr>
            </w:pPr>
            <w:r w:rsidRPr="00295135">
              <w:rPr>
                <w:rFonts w:ascii="Calibri" w:eastAsia="Times New Roman" w:hAnsi="Calibri" w:cs="Calibri"/>
                <w:bCs/>
                <w:sz w:val="16"/>
                <w:lang w:eastAsia="en-GB"/>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494" w:type="dxa"/>
            <w:gridSpan w:val="3"/>
            <w:shd w:val="clear" w:color="auto" w:fill="auto"/>
          </w:tcPr>
          <w:p w14:paraId="639970EE" w14:textId="7626DB95" w:rsidR="001F2FFE" w:rsidRPr="00F82735" w:rsidRDefault="001F2FFE" w:rsidP="00B37733">
            <w:pPr>
              <w:autoSpaceDE w:val="0"/>
              <w:autoSpaceDN w:val="0"/>
              <w:adjustRightInd w:val="0"/>
              <w:spacing w:after="0" w:line="240" w:lineRule="auto"/>
              <w:rPr>
                <w:rFonts w:eastAsia="Times New Roman" w:cstheme="minorHAnsi"/>
                <w:color w:val="000000"/>
                <w:lang w:eastAsia="en-GB"/>
              </w:rPr>
            </w:pPr>
            <w:r w:rsidRPr="00FD439E">
              <w:rPr>
                <w:rFonts w:eastAsia="Times New Roman" w:cstheme="minorHAnsi"/>
                <w:b/>
                <w:color w:val="000000"/>
                <w:u w:val="single"/>
                <w:lang w:eastAsia="en-GB"/>
              </w:rPr>
              <w:t>Pregnancy</w:t>
            </w:r>
            <w:r w:rsidRPr="00FD439E">
              <w:rPr>
                <w:rFonts w:eastAsia="Times New Roman" w:cstheme="minorHAnsi"/>
                <w:b/>
                <w:color w:val="000000"/>
                <w:lang w:eastAsia="en-GB"/>
              </w:rPr>
              <w:t>:</w:t>
            </w:r>
            <w:r w:rsidR="00F82735">
              <w:rPr>
                <w:rFonts w:eastAsia="Times New Roman" w:cstheme="minorHAnsi"/>
                <w:b/>
                <w:color w:val="000000"/>
                <w:lang w:eastAsia="en-GB"/>
              </w:rPr>
              <w:t xml:space="preserve"> </w:t>
            </w:r>
            <w:r w:rsidR="00F82735" w:rsidRPr="00F82735">
              <w:rPr>
                <w:rFonts w:eastAsia="Times New Roman" w:cstheme="minorHAnsi"/>
                <w:color w:val="000000"/>
                <w:lang w:eastAsia="en-GB"/>
              </w:rPr>
              <w:t>Sativex should not be used during pregnancy unless the potential risks to the fetus and/or embryo are considered to be outweighed by the benefit of treatment.</w:t>
            </w:r>
          </w:p>
          <w:p w14:paraId="0663346F" w14:textId="26DBB598" w:rsidR="001F2FFE" w:rsidRPr="00F82735" w:rsidRDefault="001F2FFE" w:rsidP="00B37733">
            <w:pPr>
              <w:autoSpaceDE w:val="0"/>
              <w:autoSpaceDN w:val="0"/>
              <w:adjustRightInd w:val="0"/>
              <w:spacing w:after="0" w:line="240" w:lineRule="auto"/>
              <w:rPr>
                <w:rFonts w:eastAsia="Times New Roman" w:cstheme="minorHAnsi"/>
                <w:color w:val="000000"/>
                <w:lang w:eastAsia="en-GB"/>
              </w:rPr>
            </w:pPr>
            <w:r w:rsidRPr="00FD439E">
              <w:rPr>
                <w:rFonts w:eastAsia="Times New Roman" w:cstheme="minorHAnsi"/>
                <w:b/>
                <w:color w:val="000000"/>
                <w:u w:val="single"/>
                <w:lang w:eastAsia="en-GB"/>
              </w:rPr>
              <w:t>Breastfeeding</w:t>
            </w:r>
            <w:r w:rsidRPr="00FD439E">
              <w:rPr>
                <w:rFonts w:eastAsia="Times New Roman" w:cstheme="minorHAnsi"/>
                <w:b/>
                <w:color w:val="000000"/>
                <w:lang w:eastAsia="en-GB"/>
              </w:rPr>
              <w:t>:</w:t>
            </w:r>
            <w:r w:rsidR="00F82735">
              <w:rPr>
                <w:rFonts w:eastAsia="Times New Roman" w:cstheme="minorHAnsi"/>
                <w:b/>
                <w:color w:val="000000"/>
                <w:lang w:eastAsia="en-GB"/>
              </w:rPr>
              <w:t xml:space="preserve">  </w:t>
            </w:r>
            <w:r w:rsidR="00F82735" w:rsidRPr="00F82735">
              <w:rPr>
                <w:rFonts w:eastAsia="Times New Roman" w:cstheme="minorHAnsi"/>
                <w:color w:val="000000"/>
                <w:lang w:eastAsia="en-GB"/>
              </w:rPr>
              <w:t>Sativex is excreted in breast milk and is contraindicated during breastfeeding.</w:t>
            </w:r>
          </w:p>
          <w:p w14:paraId="5B7A2D80" w14:textId="77777777" w:rsidR="001F2FFE" w:rsidRPr="00FD439E" w:rsidRDefault="001F2FFE" w:rsidP="00B37733">
            <w:pPr>
              <w:autoSpaceDE w:val="0"/>
              <w:autoSpaceDN w:val="0"/>
              <w:adjustRightInd w:val="0"/>
              <w:spacing w:after="0" w:line="240" w:lineRule="auto"/>
              <w:rPr>
                <w:rFonts w:eastAsia="Times New Roman" w:cstheme="minorHAnsi"/>
                <w:b/>
                <w:color w:val="000000"/>
                <w:u w:val="single"/>
                <w:lang w:eastAsia="en-GB"/>
              </w:rPr>
            </w:pPr>
          </w:p>
        </w:tc>
      </w:tr>
      <w:tr w:rsidR="00DF18B5" w:rsidRPr="00295135" w14:paraId="3A78E10C" w14:textId="77777777" w:rsidTr="007C6E86">
        <w:trPr>
          <w:jc w:val="center"/>
        </w:trPr>
        <w:tc>
          <w:tcPr>
            <w:tcW w:w="2961" w:type="dxa"/>
            <w:shd w:val="clear" w:color="auto" w:fill="F2F2F2"/>
          </w:tcPr>
          <w:p w14:paraId="4F91BE19" w14:textId="77777777" w:rsidR="00DF18B5" w:rsidRPr="00295135" w:rsidRDefault="00DF18B5"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13. Specialist contact information</w:t>
            </w:r>
          </w:p>
        </w:tc>
        <w:tc>
          <w:tcPr>
            <w:tcW w:w="7494" w:type="dxa"/>
            <w:gridSpan w:val="3"/>
            <w:shd w:val="clear" w:color="auto" w:fill="auto"/>
          </w:tcPr>
          <w:p w14:paraId="3450A217" w14:textId="77777777" w:rsidR="00DF18B5" w:rsidRDefault="00DF18B5" w:rsidP="00345E33">
            <w:pPr>
              <w:spacing w:after="0" w:line="264" w:lineRule="auto"/>
              <w:rPr>
                <w:rFonts w:ascii="Calibri" w:eastAsia="Times New Roman" w:hAnsi="Calibri" w:cs="Calibri"/>
                <w:i/>
              </w:rPr>
            </w:pPr>
            <w:r w:rsidRPr="000A1C3F">
              <w:rPr>
                <w:rFonts w:ascii="Calibri" w:eastAsia="Times New Roman" w:hAnsi="Calibri" w:cs="Calibri"/>
              </w:rPr>
              <w:t>Name</w:t>
            </w:r>
            <w:r>
              <w:rPr>
                <w:rFonts w:ascii="Calibri" w:eastAsia="Times New Roman" w:hAnsi="Calibri" w:cs="Calibri"/>
              </w:rPr>
              <w:t>:</w:t>
            </w:r>
            <w:r w:rsidRPr="000A1C3F">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name]</w:t>
            </w:r>
            <w:r>
              <w:rPr>
                <w:rFonts w:ascii="Calibri" w:eastAsia="Times New Roman" w:hAnsi="Calibri" w:cs="Calibri"/>
                <w:i/>
              </w:rPr>
              <w:fldChar w:fldCharType="end"/>
            </w:r>
          </w:p>
          <w:p w14:paraId="14672D2A" w14:textId="77777777" w:rsidR="00DF18B5" w:rsidRPr="00DF18B5" w:rsidRDefault="00DF18B5" w:rsidP="00345E33">
            <w:pPr>
              <w:spacing w:after="0" w:line="264" w:lineRule="auto"/>
              <w:rPr>
                <w:rFonts w:ascii="Calibri" w:eastAsia="Times New Roman" w:hAnsi="Calibri" w:cs="Calibri"/>
              </w:rPr>
            </w:pPr>
            <w:r w:rsidRPr="00DF18B5">
              <w:rPr>
                <w:rFonts w:ascii="Calibri" w:eastAsia="Times New Roman" w:hAnsi="Calibri" w:cs="Calibri"/>
              </w:rPr>
              <w:t>Role and specialty:</w:t>
            </w:r>
            <w:r>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role and specialty]"/>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role and specialty]</w:t>
            </w:r>
            <w:r>
              <w:rPr>
                <w:rFonts w:ascii="Calibri" w:eastAsia="Times New Roman" w:hAnsi="Calibri" w:cs="Calibri"/>
                <w:i/>
              </w:rPr>
              <w:fldChar w:fldCharType="end"/>
            </w:r>
          </w:p>
          <w:p w14:paraId="553C71CF" w14:textId="77777777" w:rsidR="00DF18B5" w:rsidRDefault="00DF18B5" w:rsidP="00345E33">
            <w:pPr>
              <w:spacing w:after="0" w:line="264" w:lineRule="auto"/>
              <w:rPr>
                <w:rFonts w:ascii="Calibri" w:eastAsia="Times New Roman" w:hAnsi="Calibri" w:cs="Calibri"/>
                <w:i/>
              </w:rPr>
            </w:pPr>
            <w:r w:rsidRPr="000A1C3F">
              <w:rPr>
                <w:rFonts w:ascii="Calibri" w:eastAsia="Times New Roman" w:hAnsi="Calibri" w:cs="Calibri"/>
              </w:rPr>
              <w:t xml:space="preserve">Daytime telephone number: </w:t>
            </w:r>
            <w:r>
              <w:rPr>
                <w:rFonts w:ascii="Calibri" w:eastAsia="Times New Roman" w:hAnsi="Calibri" w:cs="Calibri"/>
                <w:i/>
              </w:rPr>
              <w:fldChar w:fldCharType="begin">
                <w:ffData>
                  <w:name w:val=""/>
                  <w:enabled/>
                  <w:calcOnExit w:val="0"/>
                  <w:textInput>
                    <w:default w:val="[insert daytime telephone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daytime telephone number]</w:t>
            </w:r>
            <w:r>
              <w:rPr>
                <w:rFonts w:ascii="Calibri" w:eastAsia="Times New Roman" w:hAnsi="Calibri" w:cs="Calibri"/>
                <w:i/>
              </w:rPr>
              <w:fldChar w:fldCharType="end"/>
            </w:r>
          </w:p>
          <w:p w14:paraId="0AE6EBF8" w14:textId="77777777" w:rsidR="00DF18B5" w:rsidRDefault="00DF18B5" w:rsidP="00345E33">
            <w:pPr>
              <w:spacing w:after="0" w:line="264" w:lineRule="auto"/>
              <w:rPr>
                <w:rFonts w:ascii="Calibri" w:eastAsia="Times New Roman" w:hAnsi="Calibri" w:cs="Calibri"/>
                <w:i/>
              </w:rPr>
            </w:pPr>
            <w:r>
              <w:rPr>
                <w:rFonts w:ascii="Calibri" w:eastAsia="Times New Roman" w:hAnsi="Calibri" w:cs="Calibri"/>
              </w:rPr>
              <w:t xml:space="preserve">Email address: </w:t>
            </w:r>
            <w:r>
              <w:rPr>
                <w:rFonts w:ascii="Calibri" w:eastAsia="Times New Roman" w:hAnsi="Calibri" w:cs="Calibri"/>
                <w:i/>
              </w:rPr>
              <w:fldChar w:fldCharType="begin">
                <w:ffData>
                  <w:name w:val=""/>
                  <w:enabled/>
                  <w:calcOnExit w:val="0"/>
                  <w:textInput>
                    <w:default w:val="[insert email 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email address]</w:t>
            </w:r>
            <w:r>
              <w:rPr>
                <w:rFonts w:ascii="Calibri" w:eastAsia="Times New Roman" w:hAnsi="Calibri" w:cs="Calibri"/>
                <w:i/>
              </w:rPr>
              <w:fldChar w:fldCharType="end"/>
            </w:r>
          </w:p>
          <w:p w14:paraId="57F72D6F" w14:textId="77777777" w:rsidR="00DF18B5" w:rsidRPr="00DF18B5" w:rsidRDefault="00DF18B5" w:rsidP="00345E33">
            <w:pPr>
              <w:spacing w:after="0" w:line="264" w:lineRule="auto"/>
              <w:rPr>
                <w:rFonts w:ascii="Calibri" w:eastAsia="Times New Roman" w:hAnsi="Calibri" w:cs="Calibri"/>
              </w:rPr>
            </w:pPr>
            <w:r>
              <w:rPr>
                <w:rFonts w:ascii="Calibri" w:eastAsia="Times New Roman" w:hAnsi="Calibri" w:cs="Calibri"/>
              </w:rPr>
              <w:t xml:space="preserve">Alternative contact: </w:t>
            </w:r>
            <w:r>
              <w:rPr>
                <w:rFonts w:ascii="Calibri" w:eastAsia="Times New Roman" w:hAnsi="Calibri" w:cs="Calibri"/>
                <w:i/>
              </w:rPr>
              <w:fldChar w:fldCharType="begin">
                <w:ffData>
                  <w:name w:val=""/>
                  <w:enabled/>
                  <w:calcOnExit w:val="0"/>
                  <w:textInput>
                    <w:default w:val="[insert contact information, e.g. for clinic or specialist nurs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clinic or specialist nurse]</w:t>
            </w:r>
            <w:r>
              <w:rPr>
                <w:rFonts w:ascii="Calibri" w:eastAsia="Times New Roman" w:hAnsi="Calibri" w:cs="Calibri"/>
                <w:i/>
              </w:rPr>
              <w:fldChar w:fldCharType="end"/>
            </w:r>
          </w:p>
          <w:p w14:paraId="2536982E" w14:textId="4096D8D6" w:rsidR="00DF18B5" w:rsidRPr="000A1C3F" w:rsidRDefault="00DF18B5" w:rsidP="00345E33">
            <w:pPr>
              <w:spacing w:after="0" w:line="264" w:lineRule="auto"/>
              <w:rPr>
                <w:rFonts w:eastAsia="Times New Roman" w:cstheme="minorHAnsi"/>
                <w:highlight w:val="yellow"/>
                <w:lang w:eastAsia="en-GB"/>
              </w:rPr>
            </w:pPr>
            <w:r>
              <w:rPr>
                <w:rFonts w:ascii="Calibri" w:eastAsia="Times New Roman" w:hAnsi="Calibri" w:cs="Calibri"/>
              </w:rPr>
              <w:t xml:space="preserve">Out of hours contact details: </w:t>
            </w:r>
            <w:r>
              <w:rPr>
                <w:rFonts w:ascii="Calibri" w:eastAsia="Times New Roman" w:hAnsi="Calibri" w:cs="Calibri"/>
                <w:i/>
              </w:rPr>
              <w:fldChar w:fldCharType="begin">
                <w:ffData>
                  <w:name w:val=""/>
                  <w:enabled/>
                  <w:calcOnExit w:val="0"/>
                  <w:textInput>
                    <w:default w:val="[insert contact information, e.g. for duty docto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duty doctor]</w:t>
            </w:r>
            <w:r>
              <w:rPr>
                <w:rFonts w:ascii="Calibri" w:eastAsia="Times New Roman" w:hAnsi="Calibri" w:cs="Calibri"/>
                <w:i/>
              </w:rPr>
              <w:fldChar w:fldCharType="end"/>
            </w:r>
          </w:p>
        </w:tc>
      </w:tr>
      <w:tr w:rsidR="00DF18B5" w:rsidRPr="00295135" w14:paraId="1AD14A2A" w14:textId="77777777" w:rsidTr="007C6E86">
        <w:trPr>
          <w:trHeight w:val="274"/>
          <w:jc w:val="center"/>
        </w:trPr>
        <w:tc>
          <w:tcPr>
            <w:tcW w:w="2961" w:type="dxa"/>
            <w:shd w:val="clear" w:color="auto" w:fill="F2F2F2"/>
          </w:tcPr>
          <w:p w14:paraId="4A5E5603" w14:textId="1F5D891A" w:rsidR="00DF18B5" w:rsidRPr="00295135" w:rsidRDefault="00DF18B5"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14. Additional information</w:t>
            </w:r>
          </w:p>
        </w:tc>
        <w:tc>
          <w:tcPr>
            <w:tcW w:w="7494" w:type="dxa"/>
            <w:gridSpan w:val="3"/>
            <w:shd w:val="clear" w:color="auto" w:fill="auto"/>
          </w:tcPr>
          <w:p w14:paraId="201683F6" w14:textId="77777777" w:rsidR="00DF18B5" w:rsidRPr="00C036BB" w:rsidRDefault="00DF18B5" w:rsidP="00345E33">
            <w:pPr>
              <w:spacing w:before="100" w:beforeAutospacing="1" w:after="100" w:afterAutospacing="1" w:line="264" w:lineRule="auto"/>
              <w:rPr>
                <w:rFonts w:eastAsia="Times New Roman" w:cstheme="minorHAnsi"/>
                <w:b/>
                <w:bCs/>
                <w:sz w:val="20"/>
                <w:lang w:val="en-US" w:eastAsia="en-GB"/>
              </w:rPr>
            </w:pPr>
            <w:r w:rsidRPr="00BE7F72">
              <w:rPr>
                <w:rFonts w:eastAsia="Times New Roman" w:cstheme="minorHAnsi"/>
                <w:szCs w:val="24"/>
                <w:lang w:eastAsia="en-GB"/>
              </w:rPr>
              <w:t>Where patient care is transferred from one specialist service or GP practice to another, a new shared care agreement must be completed.</w:t>
            </w:r>
          </w:p>
        </w:tc>
      </w:tr>
      <w:tr w:rsidR="00DF18B5" w:rsidRPr="00295135" w14:paraId="40A4CE02" w14:textId="77777777" w:rsidTr="007C6E86">
        <w:trPr>
          <w:jc w:val="center"/>
        </w:trPr>
        <w:tc>
          <w:tcPr>
            <w:tcW w:w="2961" w:type="dxa"/>
            <w:shd w:val="clear" w:color="auto" w:fill="F2F2F2"/>
          </w:tcPr>
          <w:p w14:paraId="6A16DFE8" w14:textId="77777777" w:rsidR="00DF18B5" w:rsidRPr="00295135" w:rsidRDefault="00DF18B5"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15. References</w:t>
            </w:r>
          </w:p>
        </w:tc>
        <w:tc>
          <w:tcPr>
            <w:tcW w:w="7494" w:type="dxa"/>
            <w:gridSpan w:val="3"/>
            <w:shd w:val="clear" w:color="auto" w:fill="auto"/>
          </w:tcPr>
          <w:p w14:paraId="72E1AEF1" w14:textId="77777777" w:rsidR="00345E33" w:rsidRPr="00345E33" w:rsidRDefault="00345E33" w:rsidP="00345E33">
            <w:pPr>
              <w:pStyle w:val="EndNoteBibliography"/>
              <w:spacing w:after="0" w:line="264" w:lineRule="auto"/>
              <w:ind w:left="187" w:hanging="187"/>
            </w:pPr>
            <w:r>
              <w:fldChar w:fldCharType="begin"/>
            </w:r>
            <w:r>
              <w:instrText xml:space="preserve"> ADDIN EN.REFLIST </w:instrText>
            </w:r>
            <w:r>
              <w:fldChar w:fldCharType="separate"/>
            </w:r>
            <w:r w:rsidRPr="00345E33">
              <w:t>1. NICE Guidelines Update Team. Cannabis-based medicinal products [C] Evidence review for spasticity 2019. h</w:t>
            </w:r>
            <w:hyperlink r:id="rId18" w:history="1">
              <w:r w:rsidRPr="00345E33">
                <w:rPr>
                  <w:rStyle w:val="Hyperlink"/>
                </w:rPr>
                <w:t xml:space="preserve">ttps://www.nice.org.uk/guidance/ng144/evidence/c-spasticity-pdf-6963831760 </w:t>
              </w:r>
            </w:hyperlink>
            <w:r w:rsidRPr="00345E33">
              <w:t>(accessed February 2021).</w:t>
            </w:r>
          </w:p>
          <w:p w14:paraId="570155C6" w14:textId="3DE26D7B" w:rsidR="00345E33" w:rsidRPr="00345E33" w:rsidRDefault="00345E33" w:rsidP="00345E33">
            <w:pPr>
              <w:pStyle w:val="EndNoteBibliography"/>
              <w:spacing w:after="0" w:line="264" w:lineRule="auto"/>
              <w:ind w:left="187" w:hanging="187"/>
            </w:pPr>
            <w:r w:rsidRPr="00345E33">
              <w:t>2. Cannabis-based medicinal products : guidance (NG144): NICE; 2019 h</w:t>
            </w:r>
            <w:hyperlink r:id="rId19" w:history="1">
              <w:r w:rsidRPr="00345E33">
                <w:rPr>
                  <w:rStyle w:val="Hyperlink"/>
                </w:rPr>
                <w:t xml:space="preserve">ttps://www.nice.org.uk/guidance/ng144 </w:t>
              </w:r>
            </w:hyperlink>
            <w:r w:rsidRPr="00345E33">
              <w:t>(accessed Jan 2021).</w:t>
            </w:r>
          </w:p>
          <w:p w14:paraId="469E4408" w14:textId="757B1A10" w:rsidR="00DF18B5" w:rsidRPr="00295135" w:rsidRDefault="00345E33" w:rsidP="00B37733">
            <w:pPr>
              <w:pStyle w:val="EndNoteBibliography"/>
              <w:spacing w:after="0"/>
              <w:ind w:left="187" w:hanging="187"/>
              <w:rPr>
                <w:rFonts w:eastAsia="Times New Roman" w:cstheme="minorHAnsi"/>
                <w:sz w:val="24"/>
                <w:szCs w:val="24"/>
                <w:lang w:eastAsia="en-GB"/>
              </w:rPr>
            </w:pPr>
            <w:r w:rsidRPr="00345E33">
              <w:t xml:space="preserve">3. GW Pharma. Sativex Oromucosal Spray 2020. </w:t>
            </w:r>
            <w:hyperlink r:id="rId20" w:history="1">
              <w:r w:rsidRPr="00345E33">
                <w:rPr>
                  <w:rStyle w:val="Hyperlink"/>
                </w:rPr>
                <w:t>https://www.medicines.org.uk/emc/product/602</w:t>
              </w:r>
            </w:hyperlink>
            <w:r w:rsidRPr="00345E33">
              <w:t>.</w:t>
            </w:r>
            <w:r>
              <w:fldChar w:fldCharType="end"/>
            </w:r>
          </w:p>
        </w:tc>
      </w:tr>
      <w:tr w:rsidR="00DF18B5" w:rsidRPr="00295135" w14:paraId="42F50346" w14:textId="77777777" w:rsidTr="007C6E86">
        <w:trPr>
          <w:jc w:val="center"/>
        </w:trPr>
        <w:tc>
          <w:tcPr>
            <w:tcW w:w="2961" w:type="dxa"/>
            <w:shd w:val="clear" w:color="auto" w:fill="F2F2F2"/>
          </w:tcPr>
          <w:p w14:paraId="0D7FFA2C" w14:textId="77777777" w:rsidR="00DF18B5" w:rsidRPr="00295135" w:rsidRDefault="00DF18B5" w:rsidP="00345E33">
            <w:pPr>
              <w:spacing w:before="100" w:beforeAutospacing="1" w:after="100" w:afterAutospacing="1" w:line="264" w:lineRule="auto"/>
              <w:rPr>
                <w:rFonts w:eastAsia="Times New Roman" w:cstheme="minorHAnsi"/>
                <w:b/>
                <w:sz w:val="24"/>
                <w:szCs w:val="24"/>
                <w:lang w:eastAsia="en-GB"/>
              </w:rPr>
            </w:pPr>
            <w:r w:rsidRPr="00295135">
              <w:rPr>
                <w:rFonts w:eastAsia="Times New Roman" w:cstheme="minorHAnsi"/>
                <w:b/>
                <w:sz w:val="24"/>
                <w:szCs w:val="24"/>
                <w:lang w:eastAsia="en-GB"/>
              </w:rPr>
              <w:t>16. To be read in conjunction with the following documents</w:t>
            </w:r>
          </w:p>
        </w:tc>
        <w:tc>
          <w:tcPr>
            <w:tcW w:w="7494" w:type="dxa"/>
            <w:gridSpan w:val="3"/>
            <w:shd w:val="clear" w:color="auto" w:fill="auto"/>
          </w:tcPr>
          <w:p w14:paraId="01AD1C7D" w14:textId="77777777" w:rsidR="00DF18B5" w:rsidRDefault="00DF18B5" w:rsidP="00345E33">
            <w:pPr>
              <w:pStyle w:val="ListParagraph"/>
              <w:numPr>
                <w:ilvl w:val="0"/>
                <w:numId w:val="4"/>
              </w:numPr>
              <w:spacing w:after="0" w:line="264" w:lineRule="auto"/>
              <w:rPr>
                <w:rFonts w:eastAsia="Times New Roman" w:cstheme="minorHAnsi"/>
                <w:lang w:eastAsia="en-GB"/>
              </w:rPr>
            </w:pPr>
            <w:r w:rsidRPr="00B215F1">
              <w:rPr>
                <w:rFonts w:eastAsia="Times New Roman" w:cstheme="minorHAnsi"/>
                <w:lang w:eastAsia="en-GB"/>
              </w:rPr>
              <w:t xml:space="preserve">RMOC Shared Care </w:t>
            </w:r>
            <w:r>
              <w:rPr>
                <w:rFonts w:eastAsia="Times New Roman" w:cstheme="minorHAnsi"/>
                <w:lang w:eastAsia="en-GB"/>
              </w:rPr>
              <w:t>Guidance</w:t>
            </w:r>
          </w:p>
          <w:p w14:paraId="24F76BF3" w14:textId="58D02676" w:rsidR="00345E33" w:rsidRPr="00E337B7" w:rsidRDefault="00DF18B5" w:rsidP="00E337B7">
            <w:pPr>
              <w:pStyle w:val="ListParagraph"/>
              <w:numPr>
                <w:ilvl w:val="0"/>
                <w:numId w:val="4"/>
              </w:numPr>
              <w:spacing w:after="0" w:line="264" w:lineRule="auto"/>
              <w:rPr>
                <w:rFonts w:eastAsia="Times New Roman" w:cstheme="minorHAnsi"/>
                <w:lang w:eastAsia="en-GB"/>
              </w:rPr>
            </w:pPr>
            <w:r>
              <w:rPr>
                <w:rFonts w:eastAsia="Times New Roman" w:cstheme="minorHAnsi"/>
                <w:lang w:eastAsia="en-GB"/>
              </w:rPr>
              <w:t xml:space="preserve">NHSE policy- </w:t>
            </w:r>
            <w:r>
              <w:t>Responsibility for prescribing between Primary &amp; Secondary/Tertiary Care</w:t>
            </w:r>
          </w:p>
        </w:tc>
      </w:tr>
      <w:tr w:rsidR="00DF18B5" w:rsidRPr="00295135" w14:paraId="341583D5" w14:textId="77777777" w:rsidTr="007C6E86">
        <w:trPr>
          <w:jc w:val="center"/>
        </w:trPr>
        <w:tc>
          <w:tcPr>
            <w:tcW w:w="2961" w:type="dxa"/>
            <w:shd w:val="clear" w:color="auto" w:fill="F2F2F2"/>
          </w:tcPr>
          <w:p w14:paraId="0FCA8E6A" w14:textId="77777777" w:rsidR="00DF18B5" w:rsidRPr="00DE5F89" w:rsidRDefault="00DF18B5" w:rsidP="00345E33">
            <w:pPr>
              <w:spacing w:before="100" w:beforeAutospacing="1" w:after="0" w:line="264" w:lineRule="auto"/>
              <w:rPr>
                <w:rFonts w:eastAsia="Times New Roman" w:cstheme="minorHAnsi"/>
                <w:b/>
                <w:sz w:val="24"/>
                <w:szCs w:val="24"/>
                <w:lang w:eastAsia="en-GB"/>
              </w:rPr>
            </w:pPr>
            <w:r>
              <w:rPr>
                <w:rFonts w:eastAsia="Times New Roman" w:cstheme="minorHAnsi"/>
                <w:b/>
                <w:sz w:val="24"/>
                <w:szCs w:val="24"/>
                <w:lang w:eastAsia="en-GB"/>
              </w:rPr>
              <w:t>17. Local arrangements for referral</w:t>
            </w:r>
            <w:r w:rsidRPr="00DE5F89">
              <w:rPr>
                <w:rFonts w:eastAsia="Times New Roman" w:cstheme="minorHAnsi"/>
                <w:b/>
                <w:sz w:val="24"/>
                <w:szCs w:val="24"/>
                <w:lang w:eastAsia="en-GB"/>
              </w:rPr>
              <w:t xml:space="preserve"> </w:t>
            </w:r>
          </w:p>
          <w:p w14:paraId="484E805F" w14:textId="68C62E74" w:rsidR="00DF18B5" w:rsidRPr="00295135" w:rsidRDefault="00DF18B5" w:rsidP="00345E33">
            <w:pPr>
              <w:spacing w:after="100" w:afterAutospacing="1" w:line="264" w:lineRule="auto"/>
              <w:rPr>
                <w:rFonts w:eastAsia="Times New Roman" w:cstheme="minorHAnsi"/>
                <w:b/>
                <w:sz w:val="24"/>
                <w:szCs w:val="24"/>
                <w:lang w:eastAsia="en-GB"/>
              </w:rPr>
            </w:pPr>
            <w:r w:rsidRPr="00DE5F89">
              <w:rPr>
                <w:rFonts w:ascii="Calibri" w:eastAsia="Times New Roman" w:hAnsi="Calibri" w:cs="Calibri"/>
                <w:bCs/>
                <w:sz w:val="16"/>
                <w:lang w:eastAsia="en-GB"/>
              </w:rPr>
              <w:t>Define the referral procedure from hospital to primary care prescriber &amp; route of return should the patient’s condition change.</w:t>
            </w:r>
          </w:p>
        </w:tc>
        <w:tc>
          <w:tcPr>
            <w:tcW w:w="7494" w:type="dxa"/>
            <w:gridSpan w:val="3"/>
            <w:shd w:val="clear" w:color="auto" w:fill="auto"/>
          </w:tcPr>
          <w:sdt>
            <w:sdtPr>
              <w:rPr>
                <w:rFonts w:eastAsia="Times New Roman" w:cstheme="minorHAnsi"/>
                <w:color w:val="000000"/>
                <w:highlight w:val="yellow"/>
                <w:lang w:val="en" w:eastAsia="en-GB"/>
              </w:rPr>
              <w:id w:val="-2017293570"/>
            </w:sdtPr>
            <w:sdtEndPr/>
            <w:sdtContent>
              <w:p w14:paraId="496FAC11" w14:textId="0FD40F9D" w:rsidR="00DF18B5" w:rsidRDefault="00DF18B5" w:rsidP="00345E33">
                <w:pPr>
                  <w:spacing w:after="0" w:line="264"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p>
            </w:sdtContent>
          </w:sdt>
          <w:p w14:paraId="069F9B4D" w14:textId="5C28E3A9" w:rsidR="00DF18B5" w:rsidRPr="0024571E" w:rsidRDefault="00DF18B5" w:rsidP="00345E33">
            <w:pPr>
              <w:spacing w:after="0" w:line="264" w:lineRule="auto"/>
              <w:rPr>
                <w:rFonts w:eastAsia="Times New Roman" w:cstheme="minorHAnsi"/>
                <w:lang w:eastAsia="en-GB"/>
              </w:rPr>
            </w:pPr>
            <w:r w:rsidRPr="0024571E">
              <w:rPr>
                <w:rFonts w:eastAsia="Times New Roman" w:cstheme="minorHAnsi"/>
                <w:lang w:eastAsia="en-GB"/>
              </w:rPr>
              <w:t xml:space="preserve"> </w:t>
            </w:r>
          </w:p>
        </w:tc>
      </w:tr>
    </w:tbl>
    <w:p w14:paraId="1AFD53FF" w14:textId="77777777" w:rsidR="00295135" w:rsidRDefault="00295135" w:rsidP="00295135">
      <w:pPr>
        <w:pStyle w:val="mmFooter"/>
        <w:spacing w:before="0" w:beforeAutospacing="0" w:after="0" w:afterAutospacing="0"/>
        <w:jc w:val="left"/>
      </w:pPr>
      <w:r w:rsidRPr="00441F4C">
        <w:t xml:space="preserve">APC board date: </w:t>
      </w:r>
    </w:p>
    <w:p w14:paraId="45E2BB9B" w14:textId="532B9B4A" w:rsidR="00877E1D" w:rsidRPr="00877E1D" w:rsidRDefault="00295135" w:rsidP="00B37733">
      <w:pPr>
        <w:pStyle w:val="mmFooter"/>
        <w:spacing w:before="0" w:beforeAutospacing="0" w:after="0" w:afterAutospacing="0"/>
        <w:jc w:val="left"/>
        <w:rPr>
          <w:rFonts w:ascii="Calibri" w:hAnsi="Calibri" w:cs="Calibri"/>
        </w:rPr>
      </w:pPr>
      <w:r w:rsidRPr="00441F4C">
        <w:t xml:space="preserve">Last updated: </w:t>
      </w:r>
    </w:p>
    <w:sectPr w:rsidR="00877E1D" w:rsidRPr="00877E1D" w:rsidSect="009C57DE">
      <w:footerReference w:type="default" r:id="rId21"/>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46ED8" w16cid:durableId="22D7E6FE"/>
  <w16cid:commentId w16cid:paraId="0A683906" w16cid:durableId="22D7F33E"/>
  <w16cid:commentId w16cid:paraId="4255B452" w16cid:durableId="22D55AC0"/>
  <w16cid:commentId w16cid:paraId="619BEFBE" w16cid:durableId="22D55BDE"/>
  <w16cid:commentId w16cid:paraId="134C48D7" w16cid:durableId="22D55B8C"/>
  <w16cid:commentId w16cid:paraId="01F5E0A1" w16cid:durableId="22D7E5F1"/>
  <w16cid:commentId w16cid:paraId="0A3F7014" w16cid:durableId="22D7F4E2"/>
  <w16cid:commentId w16cid:paraId="713C1F64" w16cid:durableId="22D7F536"/>
  <w16cid:commentId w16cid:paraId="132DF8F2" w16cid:durableId="22D5593A"/>
  <w16cid:commentId w16cid:paraId="5CD87AE2" w16cid:durableId="22D7F65A"/>
  <w16cid:commentId w16cid:paraId="46F074CE" w16cid:durableId="22D7F61B"/>
  <w16cid:commentId w16cid:paraId="610ECB12" w16cid:durableId="22D7F67F"/>
  <w16cid:commentId w16cid:paraId="07085D88" w16cid:durableId="22D55A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30C4" w14:textId="77777777" w:rsidR="00D05D84" w:rsidRDefault="00D05D84" w:rsidP="0087662D">
      <w:pPr>
        <w:spacing w:after="0" w:line="240" w:lineRule="auto"/>
      </w:pPr>
      <w:r>
        <w:separator/>
      </w:r>
    </w:p>
  </w:endnote>
  <w:endnote w:type="continuationSeparator" w:id="0">
    <w:p w14:paraId="0B3A37D4" w14:textId="77777777" w:rsidR="00D05D84" w:rsidRDefault="00D05D84"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72530"/>
      <w:docPartObj>
        <w:docPartGallery w:val="Page Numbers (Bottom of Page)"/>
        <w:docPartUnique/>
      </w:docPartObj>
    </w:sdtPr>
    <w:sdtEndPr>
      <w:rPr>
        <w:noProof/>
      </w:rPr>
    </w:sdtEndPr>
    <w:sdtContent>
      <w:p w14:paraId="4994ED65" w14:textId="42EEDA09" w:rsidR="00D05D84" w:rsidRDefault="00D05D84">
        <w:pPr>
          <w:pStyle w:val="Footer"/>
          <w:jc w:val="right"/>
        </w:pPr>
        <w:r>
          <w:fldChar w:fldCharType="begin"/>
        </w:r>
        <w:r>
          <w:instrText xml:space="preserve"> PAGE   \* MERGEFORMAT </w:instrText>
        </w:r>
        <w:r>
          <w:fldChar w:fldCharType="separate"/>
        </w:r>
        <w:r w:rsidR="00CB3347">
          <w:rPr>
            <w:noProof/>
          </w:rPr>
          <w:t>1</w:t>
        </w:r>
        <w:r>
          <w:rPr>
            <w:noProof/>
          </w:rPr>
          <w:fldChar w:fldCharType="end"/>
        </w:r>
      </w:p>
    </w:sdtContent>
  </w:sdt>
  <w:p w14:paraId="561A8160" w14:textId="07621E20" w:rsidR="00D05D84" w:rsidRPr="004C3859" w:rsidRDefault="00CB3347" w:rsidP="004C3859">
    <w:pPr>
      <w:pStyle w:val="Footer"/>
    </w:pPr>
    <w:r>
      <w:t xml:space="preserve">This ESCA prepared by MTRAC using a template supplied as part of the </w:t>
    </w:r>
    <w:hyperlink r:id="rId1" w:history="1">
      <w:r w:rsidR="00D05D84" w:rsidRPr="00CB3347">
        <w:rPr>
          <w:rStyle w:val="Hyperlink"/>
        </w:rPr>
        <w:t>Shared Care</w:t>
      </w:r>
      <w:r w:rsidR="0077450D" w:rsidRPr="00CB3347">
        <w:rPr>
          <w:rStyle w:val="Hyperlink"/>
        </w:rPr>
        <w:t xml:space="preserve"> for Medicines</w:t>
      </w:r>
      <w:r w:rsidR="00D05D84" w:rsidRPr="00CB3347">
        <w:rPr>
          <w:rStyle w:val="Hyperlink"/>
        </w:rPr>
        <w:t xml:space="preserve"> Guidance – A Standard Approach</w:t>
      </w:r>
      <w:r w:rsidR="0077450D" w:rsidRPr="00CB3347">
        <w:rPr>
          <w:rStyle w:val="Hyperlink"/>
        </w:rPr>
        <w:t>.</w:t>
      </w:r>
      <w:r w:rsidR="00D05D84" w:rsidRPr="00CB3347">
        <w:rPr>
          <w:rStyle w:val="Hyperlink"/>
        </w:rPr>
        <w:t xml:space="preserve"> </w:t>
      </w:r>
      <w:r w:rsidR="0077450D" w:rsidRPr="00CB3347">
        <w:rPr>
          <w:rStyle w:val="Hyperlink"/>
        </w:rPr>
        <w:t xml:space="preserve">Live </w:t>
      </w:r>
      <w:r w:rsidR="00491E96" w:rsidRPr="00CB3347">
        <w:rPr>
          <w:rStyle w:val="Hyperlink"/>
        </w:rPr>
        <w:t>1.0 (</w:t>
      </w:r>
      <w:r w:rsidR="0077450D" w:rsidRPr="00CB3347">
        <w:rPr>
          <w:rStyle w:val="Hyperlink"/>
        </w:rPr>
        <w:t>RMOC</w:t>
      </w:r>
      <w:r w:rsidR="00491E96" w:rsidRPr="00CB3347">
        <w:rPr>
          <w:rStyle w:val="Hyperlink"/>
        </w:rPr>
        <w:t>)</w:t>
      </w:r>
    </w:hyperlink>
    <w:r>
      <w:tab/>
    </w:r>
    <w:r>
      <w:tab/>
      <w:t>16/04/2021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FCCA" w14:textId="77777777" w:rsidR="00D05D84" w:rsidRDefault="00D05D84" w:rsidP="0087662D">
      <w:pPr>
        <w:spacing w:after="0" w:line="240" w:lineRule="auto"/>
      </w:pPr>
      <w:r>
        <w:separator/>
      </w:r>
    </w:p>
  </w:footnote>
  <w:footnote w:type="continuationSeparator" w:id="0">
    <w:p w14:paraId="2590425D" w14:textId="77777777" w:rsidR="00D05D84" w:rsidRDefault="00D05D84" w:rsidP="0087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14"/>
    <w:multiLevelType w:val="multilevel"/>
    <w:tmpl w:val="5FAE088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6244"/>
    <w:multiLevelType w:val="hybridMultilevel"/>
    <w:tmpl w:val="2AFEB5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35EF"/>
    <w:multiLevelType w:val="multilevel"/>
    <w:tmpl w:val="93D4AD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E346AC"/>
    <w:multiLevelType w:val="hybridMultilevel"/>
    <w:tmpl w:val="DF4CF9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AE6DF7"/>
    <w:multiLevelType w:val="hybridMultilevel"/>
    <w:tmpl w:val="B4A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C5E2D"/>
    <w:multiLevelType w:val="multilevel"/>
    <w:tmpl w:val="5FAE08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F4517"/>
    <w:multiLevelType w:val="multilevel"/>
    <w:tmpl w:val="5FDAC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143AD"/>
    <w:multiLevelType w:val="multilevel"/>
    <w:tmpl w:val="5FAE08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83C86"/>
    <w:multiLevelType w:val="multilevel"/>
    <w:tmpl w:val="65BECA3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4C0FBA"/>
    <w:multiLevelType w:val="hybridMultilevel"/>
    <w:tmpl w:val="E8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F664C"/>
    <w:multiLevelType w:val="hybridMultilevel"/>
    <w:tmpl w:val="651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A328C4"/>
    <w:multiLevelType w:val="hybridMultilevel"/>
    <w:tmpl w:val="87AC310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56B01B2"/>
    <w:multiLevelType w:val="multilevel"/>
    <w:tmpl w:val="728837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956018"/>
    <w:multiLevelType w:val="hybridMultilevel"/>
    <w:tmpl w:val="6B3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E10B5F"/>
    <w:multiLevelType w:val="hybridMultilevel"/>
    <w:tmpl w:val="2068B8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B445795"/>
    <w:multiLevelType w:val="multilevel"/>
    <w:tmpl w:val="5FDAC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934BB9"/>
    <w:multiLevelType w:val="multilevel"/>
    <w:tmpl w:val="9E56F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C61881"/>
    <w:multiLevelType w:val="hybridMultilevel"/>
    <w:tmpl w:val="75E42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13"/>
  </w:num>
  <w:num w:numId="3">
    <w:abstractNumId w:val="15"/>
  </w:num>
  <w:num w:numId="4">
    <w:abstractNumId w:val="10"/>
  </w:num>
  <w:num w:numId="5">
    <w:abstractNumId w:val="12"/>
  </w:num>
  <w:num w:numId="6">
    <w:abstractNumId w:val="17"/>
  </w:num>
  <w:num w:numId="7">
    <w:abstractNumId w:val="18"/>
  </w:num>
  <w:num w:numId="8">
    <w:abstractNumId w:val="1"/>
  </w:num>
  <w:num w:numId="9">
    <w:abstractNumId w:val="4"/>
  </w:num>
  <w:num w:numId="10">
    <w:abstractNumId w:val="19"/>
  </w:num>
  <w:num w:numId="11">
    <w:abstractNumId w:val="16"/>
  </w:num>
  <w:num w:numId="12">
    <w:abstractNumId w:val="6"/>
  </w:num>
  <w:num w:numId="13">
    <w:abstractNumId w:val="14"/>
  </w:num>
  <w:num w:numId="14">
    <w:abstractNumId w:val="9"/>
  </w:num>
  <w:num w:numId="15">
    <w:abstractNumId w:val="11"/>
  </w:num>
  <w:num w:numId="16">
    <w:abstractNumId w:val="3"/>
  </w:num>
  <w:num w:numId="17">
    <w:abstractNumId w:val="7"/>
  </w:num>
  <w:num w:numId="18">
    <w:abstractNumId w:val="8"/>
  </w:num>
  <w:num w:numId="19">
    <w:abstractNumId w:val="0"/>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f0sfxp85z90beer07prw0deaavrtaz9ds5&quot;&gt;My EndNote Library&lt;record-ids&gt;&lt;item&gt;6167&lt;/item&gt;&lt;item&gt;6175&lt;/item&gt;&lt;item&gt;6183&lt;/item&gt;&lt;/record-ids&gt;&lt;/item&gt;&lt;/Libraries&gt;"/>
  </w:docVars>
  <w:rsids>
    <w:rsidRoot w:val="00EC2AD8"/>
    <w:rsid w:val="00000BD7"/>
    <w:rsid w:val="00011ECC"/>
    <w:rsid w:val="0001743A"/>
    <w:rsid w:val="00026F7B"/>
    <w:rsid w:val="00027BF3"/>
    <w:rsid w:val="00031040"/>
    <w:rsid w:val="00032538"/>
    <w:rsid w:val="0003731C"/>
    <w:rsid w:val="00042AE7"/>
    <w:rsid w:val="00046C47"/>
    <w:rsid w:val="0005499E"/>
    <w:rsid w:val="00055788"/>
    <w:rsid w:val="000625E5"/>
    <w:rsid w:val="000652A2"/>
    <w:rsid w:val="00065B98"/>
    <w:rsid w:val="00067C8D"/>
    <w:rsid w:val="00080C62"/>
    <w:rsid w:val="00084DC3"/>
    <w:rsid w:val="00091E58"/>
    <w:rsid w:val="00091F97"/>
    <w:rsid w:val="0009626A"/>
    <w:rsid w:val="000970C6"/>
    <w:rsid w:val="000979BA"/>
    <w:rsid w:val="000A1C3F"/>
    <w:rsid w:val="000A6D12"/>
    <w:rsid w:val="000C44F0"/>
    <w:rsid w:val="000C7037"/>
    <w:rsid w:val="000D5F9E"/>
    <w:rsid w:val="000D7184"/>
    <w:rsid w:val="000E1BF6"/>
    <w:rsid w:val="000E743E"/>
    <w:rsid w:val="000F6CED"/>
    <w:rsid w:val="001039DF"/>
    <w:rsid w:val="00104888"/>
    <w:rsid w:val="001213C9"/>
    <w:rsid w:val="00127FD8"/>
    <w:rsid w:val="00132FF4"/>
    <w:rsid w:val="0014209C"/>
    <w:rsid w:val="001468BD"/>
    <w:rsid w:val="001518FB"/>
    <w:rsid w:val="0015685E"/>
    <w:rsid w:val="001636D7"/>
    <w:rsid w:val="00163D1F"/>
    <w:rsid w:val="00181489"/>
    <w:rsid w:val="00181953"/>
    <w:rsid w:val="00182AA9"/>
    <w:rsid w:val="00186192"/>
    <w:rsid w:val="00191F99"/>
    <w:rsid w:val="00193C19"/>
    <w:rsid w:val="001A3A33"/>
    <w:rsid w:val="001C2FA2"/>
    <w:rsid w:val="001C3E4B"/>
    <w:rsid w:val="001D20B3"/>
    <w:rsid w:val="001D2756"/>
    <w:rsid w:val="001E0A5E"/>
    <w:rsid w:val="001E7AAA"/>
    <w:rsid w:val="001F04D1"/>
    <w:rsid w:val="001F2FFE"/>
    <w:rsid w:val="001F6FD3"/>
    <w:rsid w:val="002109B2"/>
    <w:rsid w:val="002170F9"/>
    <w:rsid w:val="00230445"/>
    <w:rsid w:val="00230F2C"/>
    <w:rsid w:val="00232C40"/>
    <w:rsid w:val="00234C3F"/>
    <w:rsid w:val="00236640"/>
    <w:rsid w:val="00237CAB"/>
    <w:rsid w:val="0024571E"/>
    <w:rsid w:val="00246CC5"/>
    <w:rsid w:val="00254A99"/>
    <w:rsid w:val="00271DA1"/>
    <w:rsid w:val="00271F18"/>
    <w:rsid w:val="0027786F"/>
    <w:rsid w:val="00281F31"/>
    <w:rsid w:val="00295135"/>
    <w:rsid w:val="002B3965"/>
    <w:rsid w:val="002B6C74"/>
    <w:rsid w:val="002C1080"/>
    <w:rsid w:val="002C1FC3"/>
    <w:rsid w:val="002C36BE"/>
    <w:rsid w:val="002C69B2"/>
    <w:rsid w:val="002D0399"/>
    <w:rsid w:val="002D32AD"/>
    <w:rsid w:val="002D42A4"/>
    <w:rsid w:val="002E0340"/>
    <w:rsid w:val="002E64F1"/>
    <w:rsid w:val="00300AFE"/>
    <w:rsid w:val="0031071F"/>
    <w:rsid w:val="003144F9"/>
    <w:rsid w:val="003145BA"/>
    <w:rsid w:val="0031736A"/>
    <w:rsid w:val="0031762F"/>
    <w:rsid w:val="00320028"/>
    <w:rsid w:val="00327EC5"/>
    <w:rsid w:val="00334710"/>
    <w:rsid w:val="00335640"/>
    <w:rsid w:val="00335935"/>
    <w:rsid w:val="00337F56"/>
    <w:rsid w:val="003422DE"/>
    <w:rsid w:val="00345E33"/>
    <w:rsid w:val="00347990"/>
    <w:rsid w:val="003512FF"/>
    <w:rsid w:val="003569AC"/>
    <w:rsid w:val="0035702F"/>
    <w:rsid w:val="00370966"/>
    <w:rsid w:val="003736AF"/>
    <w:rsid w:val="003767F5"/>
    <w:rsid w:val="00377F3D"/>
    <w:rsid w:val="00397375"/>
    <w:rsid w:val="00397EA3"/>
    <w:rsid w:val="003A0310"/>
    <w:rsid w:val="003A5DF0"/>
    <w:rsid w:val="003B03B0"/>
    <w:rsid w:val="003B5326"/>
    <w:rsid w:val="003B686A"/>
    <w:rsid w:val="003C1546"/>
    <w:rsid w:val="003C291F"/>
    <w:rsid w:val="003D163E"/>
    <w:rsid w:val="003D1D55"/>
    <w:rsid w:val="003D3182"/>
    <w:rsid w:val="003E6BAD"/>
    <w:rsid w:val="003E7515"/>
    <w:rsid w:val="003E7F57"/>
    <w:rsid w:val="003F3997"/>
    <w:rsid w:val="00405DA9"/>
    <w:rsid w:val="00411634"/>
    <w:rsid w:val="00412A51"/>
    <w:rsid w:val="004243EF"/>
    <w:rsid w:val="00425C08"/>
    <w:rsid w:val="00431CDC"/>
    <w:rsid w:val="00437E2B"/>
    <w:rsid w:val="00446C94"/>
    <w:rsid w:val="004470C5"/>
    <w:rsid w:val="004475E1"/>
    <w:rsid w:val="00450FE2"/>
    <w:rsid w:val="00454EBC"/>
    <w:rsid w:val="00470083"/>
    <w:rsid w:val="00471EBC"/>
    <w:rsid w:val="0047377F"/>
    <w:rsid w:val="00474D84"/>
    <w:rsid w:val="00480571"/>
    <w:rsid w:val="0048728C"/>
    <w:rsid w:val="00491E96"/>
    <w:rsid w:val="004942CE"/>
    <w:rsid w:val="004A0BF6"/>
    <w:rsid w:val="004A20B0"/>
    <w:rsid w:val="004A32C9"/>
    <w:rsid w:val="004A7EB4"/>
    <w:rsid w:val="004B1A68"/>
    <w:rsid w:val="004B3351"/>
    <w:rsid w:val="004B5822"/>
    <w:rsid w:val="004B59C6"/>
    <w:rsid w:val="004C3859"/>
    <w:rsid w:val="004E5237"/>
    <w:rsid w:val="004F0714"/>
    <w:rsid w:val="004F3450"/>
    <w:rsid w:val="00505A68"/>
    <w:rsid w:val="0051050E"/>
    <w:rsid w:val="00516C57"/>
    <w:rsid w:val="005207C7"/>
    <w:rsid w:val="00527AE1"/>
    <w:rsid w:val="0053224C"/>
    <w:rsid w:val="005354DC"/>
    <w:rsid w:val="00536A18"/>
    <w:rsid w:val="00540A9F"/>
    <w:rsid w:val="0054125F"/>
    <w:rsid w:val="00544899"/>
    <w:rsid w:val="00551E14"/>
    <w:rsid w:val="005529F2"/>
    <w:rsid w:val="00553C58"/>
    <w:rsid w:val="00553DF7"/>
    <w:rsid w:val="0056444A"/>
    <w:rsid w:val="00567A6E"/>
    <w:rsid w:val="00582F77"/>
    <w:rsid w:val="0059083D"/>
    <w:rsid w:val="005A01FF"/>
    <w:rsid w:val="005A5C7B"/>
    <w:rsid w:val="005B431B"/>
    <w:rsid w:val="005C2437"/>
    <w:rsid w:val="005C3015"/>
    <w:rsid w:val="005C48AE"/>
    <w:rsid w:val="005C61AE"/>
    <w:rsid w:val="005C78E5"/>
    <w:rsid w:val="005D08B4"/>
    <w:rsid w:val="005D14DE"/>
    <w:rsid w:val="005D2143"/>
    <w:rsid w:val="005E1A8C"/>
    <w:rsid w:val="005E541C"/>
    <w:rsid w:val="005E6488"/>
    <w:rsid w:val="00607027"/>
    <w:rsid w:val="00612B55"/>
    <w:rsid w:val="006225C4"/>
    <w:rsid w:val="006242BB"/>
    <w:rsid w:val="006249F0"/>
    <w:rsid w:val="00624EE6"/>
    <w:rsid w:val="006270F1"/>
    <w:rsid w:val="006309F9"/>
    <w:rsid w:val="0064050C"/>
    <w:rsid w:val="006408B1"/>
    <w:rsid w:val="006505B0"/>
    <w:rsid w:val="006521B8"/>
    <w:rsid w:val="00654128"/>
    <w:rsid w:val="006558F7"/>
    <w:rsid w:val="00666714"/>
    <w:rsid w:val="006673F4"/>
    <w:rsid w:val="00673B7A"/>
    <w:rsid w:val="00684EB3"/>
    <w:rsid w:val="00684F75"/>
    <w:rsid w:val="00686C75"/>
    <w:rsid w:val="006929FA"/>
    <w:rsid w:val="006A1C3F"/>
    <w:rsid w:val="006A35B2"/>
    <w:rsid w:val="006A77D6"/>
    <w:rsid w:val="006B3B4E"/>
    <w:rsid w:val="006B4B99"/>
    <w:rsid w:val="006B6C80"/>
    <w:rsid w:val="006C44AF"/>
    <w:rsid w:val="006D4B1B"/>
    <w:rsid w:val="006D4DCC"/>
    <w:rsid w:val="006D559B"/>
    <w:rsid w:val="006D77DA"/>
    <w:rsid w:val="006E01FB"/>
    <w:rsid w:val="006E2D55"/>
    <w:rsid w:val="006E40C7"/>
    <w:rsid w:val="006F289F"/>
    <w:rsid w:val="006F28E4"/>
    <w:rsid w:val="006F7330"/>
    <w:rsid w:val="007034A4"/>
    <w:rsid w:val="007062A7"/>
    <w:rsid w:val="00707E5D"/>
    <w:rsid w:val="00712B97"/>
    <w:rsid w:val="00715012"/>
    <w:rsid w:val="00716548"/>
    <w:rsid w:val="00724627"/>
    <w:rsid w:val="00724633"/>
    <w:rsid w:val="007259A7"/>
    <w:rsid w:val="007278BD"/>
    <w:rsid w:val="00733C34"/>
    <w:rsid w:val="0073587B"/>
    <w:rsid w:val="007359F4"/>
    <w:rsid w:val="00737CFE"/>
    <w:rsid w:val="00742F60"/>
    <w:rsid w:val="007450A7"/>
    <w:rsid w:val="00747618"/>
    <w:rsid w:val="007555AA"/>
    <w:rsid w:val="00757E5D"/>
    <w:rsid w:val="00757F9E"/>
    <w:rsid w:val="007623B6"/>
    <w:rsid w:val="007634F4"/>
    <w:rsid w:val="0076450B"/>
    <w:rsid w:val="00765204"/>
    <w:rsid w:val="007659B8"/>
    <w:rsid w:val="007719D7"/>
    <w:rsid w:val="0077450D"/>
    <w:rsid w:val="00787EF1"/>
    <w:rsid w:val="00790845"/>
    <w:rsid w:val="00797F3F"/>
    <w:rsid w:val="007A3CC6"/>
    <w:rsid w:val="007B54C4"/>
    <w:rsid w:val="007B74CC"/>
    <w:rsid w:val="007B76B0"/>
    <w:rsid w:val="007C2F00"/>
    <w:rsid w:val="007C6B10"/>
    <w:rsid w:val="007C6E86"/>
    <w:rsid w:val="007D4F4F"/>
    <w:rsid w:val="007E228E"/>
    <w:rsid w:val="007E4BD7"/>
    <w:rsid w:val="007E547C"/>
    <w:rsid w:val="007F3F28"/>
    <w:rsid w:val="008009CB"/>
    <w:rsid w:val="00802BC6"/>
    <w:rsid w:val="00805F12"/>
    <w:rsid w:val="00806AB9"/>
    <w:rsid w:val="0080777C"/>
    <w:rsid w:val="0082161A"/>
    <w:rsid w:val="00822096"/>
    <w:rsid w:val="008359A8"/>
    <w:rsid w:val="008526A8"/>
    <w:rsid w:val="00856710"/>
    <w:rsid w:val="00861BD9"/>
    <w:rsid w:val="00867FD9"/>
    <w:rsid w:val="00871AF9"/>
    <w:rsid w:val="00872D8A"/>
    <w:rsid w:val="0087662D"/>
    <w:rsid w:val="00877E1D"/>
    <w:rsid w:val="008833FE"/>
    <w:rsid w:val="00883443"/>
    <w:rsid w:val="0088715B"/>
    <w:rsid w:val="008A0915"/>
    <w:rsid w:val="008A206B"/>
    <w:rsid w:val="008B44C1"/>
    <w:rsid w:val="008B6013"/>
    <w:rsid w:val="008D3057"/>
    <w:rsid w:val="008D6AED"/>
    <w:rsid w:val="008E584D"/>
    <w:rsid w:val="008E62E9"/>
    <w:rsid w:val="009067F0"/>
    <w:rsid w:val="00912A1D"/>
    <w:rsid w:val="00916006"/>
    <w:rsid w:val="00922068"/>
    <w:rsid w:val="00943E35"/>
    <w:rsid w:val="00946248"/>
    <w:rsid w:val="009509FD"/>
    <w:rsid w:val="009533A6"/>
    <w:rsid w:val="009610F0"/>
    <w:rsid w:val="00964CEB"/>
    <w:rsid w:val="009704AA"/>
    <w:rsid w:val="00974FEE"/>
    <w:rsid w:val="0097517B"/>
    <w:rsid w:val="00983EF3"/>
    <w:rsid w:val="00985C56"/>
    <w:rsid w:val="00995EAE"/>
    <w:rsid w:val="009A5568"/>
    <w:rsid w:val="009B36E7"/>
    <w:rsid w:val="009B44E1"/>
    <w:rsid w:val="009B56D2"/>
    <w:rsid w:val="009C1B55"/>
    <w:rsid w:val="009C4C14"/>
    <w:rsid w:val="009C57DE"/>
    <w:rsid w:val="009D01BA"/>
    <w:rsid w:val="009D1C3D"/>
    <w:rsid w:val="009D47A8"/>
    <w:rsid w:val="009E3461"/>
    <w:rsid w:val="009F178C"/>
    <w:rsid w:val="009F3E18"/>
    <w:rsid w:val="00A0302F"/>
    <w:rsid w:val="00A063A1"/>
    <w:rsid w:val="00A12522"/>
    <w:rsid w:val="00A15053"/>
    <w:rsid w:val="00A20A57"/>
    <w:rsid w:val="00A22608"/>
    <w:rsid w:val="00A257B8"/>
    <w:rsid w:val="00A32B8B"/>
    <w:rsid w:val="00A33B0A"/>
    <w:rsid w:val="00A4762E"/>
    <w:rsid w:val="00A54772"/>
    <w:rsid w:val="00A54EC2"/>
    <w:rsid w:val="00A557C0"/>
    <w:rsid w:val="00A63ACD"/>
    <w:rsid w:val="00A6476C"/>
    <w:rsid w:val="00A7357A"/>
    <w:rsid w:val="00A73796"/>
    <w:rsid w:val="00A75F99"/>
    <w:rsid w:val="00A807BD"/>
    <w:rsid w:val="00A81545"/>
    <w:rsid w:val="00A836C4"/>
    <w:rsid w:val="00A837C8"/>
    <w:rsid w:val="00A84C2C"/>
    <w:rsid w:val="00A84E41"/>
    <w:rsid w:val="00A96801"/>
    <w:rsid w:val="00AA3E21"/>
    <w:rsid w:val="00AA41D4"/>
    <w:rsid w:val="00AA4BBC"/>
    <w:rsid w:val="00AA658C"/>
    <w:rsid w:val="00AB061C"/>
    <w:rsid w:val="00AB2869"/>
    <w:rsid w:val="00AC1D52"/>
    <w:rsid w:val="00AC36B9"/>
    <w:rsid w:val="00AD2C04"/>
    <w:rsid w:val="00AE1969"/>
    <w:rsid w:val="00AE425C"/>
    <w:rsid w:val="00AE42DB"/>
    <w:rsid w:val="00AE53FD"/>
    <w:rsid w:val="00AF3F50"/>
    <w:rsid w:val="00B03457"/>
    <w:rsid w:val="00B04271"/>
    <w:rsid w:val="00B064C9"/>
    <w:rsid w:val="00B21815"/>
    <w:rsid w:val="00B234E7"/>
    <w:rsid w:val="00B27619"/>
    <w:rsid w:val="00B30EDA"/>
    <w:rsid w:val="00B33A9E"/>
    <w:rsid w:val="00B37733"/>
    <w:rsid w:val="00B41B88"/>
    <w:rsid w:val="00B4379B"/>
    <w:rsid w:val="00B44A56"/>
    <w:rsid w:val="00B44E04"/>
    <w:rsid w:val="00B47F83"/>
    <w:rsid w:val="00B54B34"/>
    <w:rsid w:val="00B5529F"/>
    <w:rsid w:val="00B552A7"/>
    <w:rsid w:val="00B61CA4"/>
    <w:rsid w:val="00B61D04"/>
    <w:rsid w:val="00B648CF"/>
    <w:rsid w:val="00B67DAB"/>
    <w:rsid w:val="00B712E5"/>
    <w:rsid w:val="00B71EE0"/>
    <w:rsid w:val="00B82416"/>
    <w:rsid w:val="00B858F0"/>
    <w:rsid w:val="00B964E3"/>
    <w:rsid w:val="00B97BED"/>
    <w:rsid w:val="00BA1AE8"/>
    <w:rsid w:val="00BA53AD"/>
    <w:rsid w:val="00BB49AD"/>
    <w:rsid w:val="00BB5065"/>
    <w:rsid w:val="00BB55EA"/>
    <w:rsid w:val="00BB5C60"/>
    <w:rsid w:val="00BB700A"/>
    <w:rsid w:val="00BC0623"/>
    <w:rsid w:val="00BC5C31"/>
    <w:rsid w:val="00BC5E18"/>
    <w:rsid w:val="00BD5B04"/>
    <w:rsid w:val="00BE1451"/>
    <w:rsid w:val="00BE1E6C"/>
    <w:rsid w:val="00BF02FA"/>
    <w:rsid w:val="00BF1DF5"/>
    <w:rsid w:val="00BF3700"/>
    <w:rsid w:val="00C00D54"/>
    <w:rsid w:val="00C13AA2"/>
    <w:rsid w:val="00C238DB"/>
    <w:rsid w:val="00C23955"/>
    <w:rsid w:val="00C24F4B"/>
    <w:rsid w:val="00C275E9"/>
    <w:rsid w:val="00C32D59"/>
    <w:rsid w:val="00C32F9E"/>
    <w:rsid w:val="00C3345A"/>
    <w:rsid w:val="00C360C0"/>
    <w:rsid w:val="00C369E9"/>
    <w:rsid w:val="00C527A1"/>
    <w:rsid w:val="00C5533B"/>
    <w:rsid w:val="00C62383"/>
    <w:rsid w:val="00C75E80"/>
    <w:rsid w:val="00C80881"/>
    <w:rsid w:val="00C823A4"/>
    <w:rsid w:val="00C9099E"/>
    <w:rsid w:val="00C92AFF"/>
    <w:rsid w:val="00CA1398"/>
    <w:rsid w:val="00CA26C3"/>
    <w:rsid w:val="00CA3320"/>
    <w:rsid w:val="00CA4BF5"/>
    <w:rsid w:val="00CB1D91"/>
    <w:rsid w:val="00CB3347"/>
    <w:rsid w:val="00CB3C2C"/>
    <w:rsid w:val="00CC3DC0"/>
    <w:rsid w:val="00CC5377"/>
    <w:rsid w:val="00CC68BF"/>
    <w:rsid w:val="00CE0B03"/>
    <w:rsid w:val="00CF0694"/>
    <w:rsid w:val="00D05D84"/>
    <w:rsid w:val="00D06FFC"/>
    <w:rsid w:val="00D16DE9"/>
    <w:rsid w:val="00D211D5"/>
    <w:rsid w:val="00D42DB7"/>
    <w:rsid w:val="00D452BD"/>
    <w:rsid w:val="00D5240C"/>
    <w:rsid w:val="00D67A08"/>
    <w:rsid w:val="00D80FBC"/>
    <w:rsid w:val="00D82394"/>
    <w:rsid w:val="00D83615"/>
    <w:rsid w:val="00D858C6"/>
    <w:rsid w:val="00D87B9D"/>
    <w:rsid w:val="00D9456C"/>
    <w:rsid w:val="00D95E41"/>
    <w:rsid w:val="00DA4F5F"/>
    <w:rsid w:val="00DA666E"/>
    <w:rsid w:val="00DB3315"/>
    <w:rsid w:val="00DB59C8"/>
    <w:rsid w:val="00DC50D1"/>
    <w:rsid w:val="00DC681C"/>
    <w:rsid w:val="00DD0D1C"/>
    <w:rsid w:val="00DD46FC"/>
    <w:rsid w:val="00DE5F89"/>
    <w:rsid w:val="00DF18B5"/>
    <w:rsid w:val="00DF1D8D"/>
    <w:rsid w:val="00DF69E3"/>
    <w:rsid w:val="00DF7950"/>
    <w:rsid w:val="00E048B4"/>
    <w:rsid w:val="00E06273"/>
    <w:rsid w:val="00E11337"/>
    <w:rsid w:val="00E20D4E"/>
    <w:rsid w:val="00E236CE"/>
    <w:rsid w:val="00E259D3"/>
    <w:rsid w:val="00E30436"/>
    <w:rsid w:val="00E32C4B"/>
    <w:rsid w:val="00E337B7"/>
    <w:rsid w:val="00E41C5F"/>
    <w:rsid w:val="00E5276F"/>
    <w:rsid w:val="00E54E90"/>
    <w:rsid w:val="00E553BD"/>
    <w:rsid w:val="00E67BC0"/>
    <w:rsid w:val="00E739FE"/>
    <w:rsid w:val="00E85DB2"/>
    <w:rsid w:val="00E935DD"/>
    <w:rsid w:val="00EA4DAC"/>
    <w:rsid w:val="00EA7FCA"/>
    <w:rsid w:val="00EB239C"/>
    <w:rsid w:val="00EB3E98"/>
    <w:rsid w:val="00EB55B3"/>
    <w:rsid w:val="00EC08B9"/>
    <w:rsid w:val="00EC2AD8"/>
    <w:rsid w:val="00ED0A4B"/>
    <w:rsid w:val="00ED1025"/>
    <w:rsid w:val="00ED1C37"/>
    <w:rsid w:val="00ED36B1"/>
    <w:rsid w:val="00ED684C"/>
    <w:rsid w:val="00ED6BD6"/>
    <w:rsid w:val="00EF1D4C"/>
    <w:rsid w:val="00F02163"/>
    <w:rsid w:val="00F0435A"/>
    <w:rsid w:val="00F048FF"/>
    <w:rsid w:val="00F13E7B"/>
    <w:rsid w:val="00F17CC2"/>
    <w:rsid w:val="00F17F2B"/>
    <w:rsid w:val="00F24B0B"/>
    <w:rsid w:val="00F36618"/>
    <w:rsid w:val="00F47C3E"/>
    <w:rsid w:val="00F53290"/>
    <w:rsid w:val="00F55BF1"/>
    <w:rsid w:val="00F60DBE"/>
    <w:rsid w:val="00F73646"/>
    <w:rsid w:val="00F73DF4"/>
    <w:rsid w:val="00F81982"/>
    <w:rsid w:val="00F82735"/>
    <w:rsid w:val="00F8658E"/>
    <w:rsid w:val="00F91132"/>
    <w:rsid w:val="00F92EAA"/>
    <w:rsid w:val="00FA4930"/>
    <w:rsid w:val="00FA495C"/>
    <w:rsid w:val="00FA792B"/>
    <w:rsid w:val="00FB540D"/>
    <w:rsid w:val="00FB549E"/>
    <w:rsid w:val="00FB5ACE"/>
    <w:rsid w:val="00FB74E0"/>
    <w:rsid w:val="00FD06EC"/>
    <w:rsid w:val="00FD17DA"/>
    <w:rsid w:val="00FD443B"/>
    <w:rsid w:val="00FE17E4"/>
    <w:rsid w:val="00FE50CE"/>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1518900A-CE98-400B-A53B-10A099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89"/>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paragraph" w:customStyle="1" w:styleId="EndNoteBibliographyTitle">
    <w:name w:val="EndNote Bibliography Title"/>
    <w:basedOn w:val="Normal"/>
    <w:link w:val="EndNoteBibliographyTitleChar"/>
    <w:rsid w:val="00345E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5E33"/>
    <w:rPr>
      <w:rFonts w:ascii="Calibri" w:hAnsi="Calibri" w:cs="Calibri"/>
      <w:noProof/>
      <w:lang w:val="en-US"/>
    </w:rPr>
  </w:style>
  <w:style w:type="paragraph" w:customStyle="1" w:styleId="EndNoteBibliography">
    <w:name w:val="EndNote Bibliography"/>
    <w:basedOn w:val="Normal"/>
    <w:link w:val="EndNoteBibliographyChar"/>
    <w:rsid w:val="00345E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5E33"/>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org.uk/emc/product/602" TargetMode="External"/><Relationship Id="rId18" Type="http://schemas.openxmlformats.org/officeDocument/2006/relationships/hyperlink" Target="ttps://www.nice.org.uk/guidance/ng144/evidence/c-spasticity-pdf-696383176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dicines.org.uk/emc/product/602" TargetMode="External"/><Relationship Id="rId17" Type="http://schemas.openxmlformats.org/officeDocument/2006/relationships/hyperlink" Target="http://www.mhra.gov.uk/yellowcard" TargetMode="External"/><Relationship Id="rId2" Type="http://schemas.openxmlformats.org/officeDocument/2006/relationships/customXml" Target="../customXml/item2.xml"/><Relationship Id="rId16" Type="http://schemas.openxmlformats.org/officeDocument/2006/relationships/hyperlink" Target="https://www.medicines.org.uk/emc/product/602" TargetMode="External"/><Relationship Id="rId20" Type="http://schemas.openxmlformats.org/officeDocument/2006/relationships/hyperlink" Target="https://www.medicines.org.uk/emc/product/6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144"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medicines.org.uk/e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tps://www.nice.org.uk/guidance/ng144%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product/60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ps.nhs.uk/articles/rmoc-shared-car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db7a36e-d7ca-478c-b07a-6062c9990694">
      <UserInfo>
        <DisplayName/>
        <AccountId xsi:nil="true"/>
        <AccountType/>
      </UserInfo>
    </Owner>
    <AppVersion xmlns="fdb7a36e-d7ca-478c-b07a-6062c9990694" xsi:nil="true"/>
    <Invited_Students xmlns="fdb7a36e-d7ca-478c-b07a-6062c9990694" xsi:nil="true"/>
    <Teams_Channel_Section_Location xmlns="fdb7a36e-d7ca-478c-b07a-6062c9990694" xsi:nil="true"/>
    <FolderType xmlns="fdb7a36e-d7ca-478c-b07a-6062c9990694" xsi:nil="true"/>
    <CultureName xmlns="fdb7a36e-d7ca-478c-b07a-6062c9990694" xsi:nil="true"/>
    <Student_Groups xmlns="fdb7a36e-d7ca-478c-b07a-6062c9990694">
      <UserInfo>
        <DisplayName/>
        <AccountId xsi:nil="true"/>
        <AccountType/>
      </UserInfo>
    </Student_Groups>
    <Self_Registration_Enabled xmlns="fdb7a36e-d7ca-478c-b07a-6062c9990694" xsi:nil="true"/>
    <DefaultSectionNames xmlns="fdb7a36e-d7ca-478c-b07a-6062c9990694" xsi:nil="true"/>
    <TeamsChannelId xmlns="fdb7a36e-d7ca-478c-b07a-6062c9990694" xsi:nil="true"/>
    <Invited_Teachers xmlns="fdb7a36e-d7ca-478c-b07a-6062c9990694" xsi:nil="true"/>
    <Teachers xmlns="fdb7a36e-d7ca-478c-b07a-6062c9990694">
      <UserInfo>
        <DisplayName/>
        <AccountId xsi:nil="true"/>
        <AccountType/>
      </UserInfo>
    </Teachers>
    <Students xmlns="fdb7a36e-d7ca-478c-b07a-6062c9990694">
      <UserInfo>
        <DisplayName/>
        <AccountId xsi:nil="true"/>
        <AccountType/>
      </UserInfo>
    </Students>
    <Templates xmlns="fdb7a36e-d7ca-478c-b07a-6062c9990694" xsi:nil="true"/>
    <Is_Collaboration_Space_Locked xmlns="fdb7a36e-d7ca-478c-b07a-6062c9990694" xsi:nil="true"/>
    <NotebookType xmlns="fdb7a36e-d7ca-478c-b07a-6062c9990694" xsi:nil="true"/>
    <Distribution_Groups xmlns="fdb7a36e-d7ca-478c-b07a-6062c9990694" xsi:nil="true"/>
    <Math_Settings xmlns="fdb7a36e-d7ca-478c-b07a-6062c9990694" xsi:nil="true"/>
    <Has_Teacher_Only_SectionGroup xmlns="fdb7a36e-d7ca-478c-b07a-6062c9990694" xsi:nil="true"/>
    <LMS_Mappings xmlns="fdb7a36e-d7ca-478c-b07a-6062c9990694" xsi:nil="true"/>
    <IsNotebookLocked xmlns="fdb7a36e-d7ca-478c-b07a-6062c9990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6C7A10F381D4E88E7594C8FB4B50D" ma:contentTypeVersion="34" ma:contentTypeDescription="Create a new document." ma:contentTypeScope="" ma:versionID="56b1f545dec3b013ef15e18c7d0eff4e">
  <xsd:schema xmlns:xsd="http://www.w3.org/2001/XMLSchema" xmlns:xs="http://www.w3.org/2001/XMLSchema" xmlns:p="http://schemas.microsoft.com/office/2006/metadata/properties" xmlns:ns3="fdb7a36e-d7ca-478c-b07a-6062c9990694" xmlns:ns4="ec52d063-1148-424b-818f-f40bb6a87685" targetNamespace="http://schemas.microsoft.com/office/2006/metadata/properties" ma:root="true" ma:fieldsID="7d3ccb882d0a7b8720297b80f545a779" ns3:_="" ns4:_="">
    <xsd:import namespace="fdb7a36e-d7ca-478c-b07a-6062c9990694"/>
    <xsd:import namespace="ec52d063-1148-424b-818f-f40bb6a876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a36e-d7ca-478c-b07a-6062c999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2d063-1148-424b-818f-f40bb6a876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498CA1-9D98-4C73-AE5F-5AAC2D660447}">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ec52d063-1148-424b-818f-f40bb6a87685"/>
    <ds:schemaRef ds:uri="fdb7a36e-d7ca-478c-b07a-6062c9990694"/>
    <ds:schemaRef ds:uri="http://purl.org/dc/terms/"/>
  </ds:schemaRefs>
</ds:datastoreItem>
</file>

<file path=customXml/itemProps2.xml><?xml version="1.0" encoding="utf-8"?>
<ds:datastoreItem xmlns:ds="http://schemas.openxmlformats.org/officeDocument/2006/customXml" ds:itemID="{95A5132D-8732-4763-B80D-A32ECB59E67D}">
  <ds:schemaRefs>
    <ds:schemaRef ds:uri="http://schemas.microsoft.com/sharepoint/v3/contenttype/forms"/>
  </ds:schemaRefs>
</ds:datastoreItem>
</file>

<file path=customXml/itemProps3.xml><?xml version="1.0" encoding="utf-8"?>
<ds:datastoreItem xmlns:ds="http://schemas.openxmlformats.org/officeDocument/2006/customXml" ds:itemID="{900E095C-E656-4DF4-8765-ECCF9433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a36e-d7ca-478c-b07a-6062c9990694"/>
    <ds:schemaRef ds:uri="ec52d063-1148-424b-818f-f40bb6a8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65889-B8AE-4126-9808-AEE1C57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Claire Stevens</cp:lastModifiedBy>
  <cp:revision>9</cp:revision>
  <cp:lastPrinted>2020-02-19T16:24:00Z</cp:lastPrinted>
  <dcterms:created xsi:type="dcterms:W3CDTF">2021-04-14T08:00:00Z</dcterms:created>
  <dcterms:modified xsi:type="dcterms:W3CDTF">2021-05-11T12:49:00Z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0x010100DD36C7A10F381D4E88E7594C8FB4B50D</vt:lpwstr>
  </property>
</Properties>
</file>