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DEC83" w14:textId="77777777" w:rsidR="00A9329C" w:rsidRPr="00BA6026" w:rsidRDefault="00E925C6">
      <w:pPr>
        <w:ind w:left="2160" w:firstLine="720"/>
        <w:jc w:val="center"/>
        <w:rPr>
          <w:rFonts w:ascii="Arial" w:hAnsi="Arial" w:cs="Arial"/>
          <w:sz w:val="30"/>
        </w:rPr>
      </w:pPr>
      <w:bookmarkStart w:id="0" w:name="_GoBack"/>
      <w:bookmarkEnd w:id="0"/>
      <w:r w:rsidRPr="00BA6026">
        <w:rPr>
          <w:rFonts w:ascii="Arial" w:hAnsi="Arial" w:cs="Arial"/>
          <w:b/>
          <w:sz w:val="40"/>
        </w:rPr>
        <w:t>Denosumab</w:t>
      </w:r>
      <w:r w:rsidR="00A9329C" w:rsidRPr="00BA6026">
        <w:rPr>
          <w:rFonts w:ascii="Arial" w:hAnsi="Arial" w:cs="Arial"/>
          <w:sz w:val="40"/>
        </w:rPr>
        <w:t xml:space="preserve">                 DRAFT</w:t>
      </w:r>
    </w:p>
    <w:p w14:paraId="13E5B58D" w14:textId="47B56621" w:rsidR="00A9329C" w:rsidRPr="00BA6026" w:rsidRDefault="00537068">
      <w:pPr>
        <w:rPr>
          <w:rFonts w:ascii="Arial" w:hAnsi="Arial" w:cs="Arial"/>
          <w:sz w:val="24"/>
          <w:shd w:val="pct5" w:color="auto" w:fill="auto"/>
        </w:rPr>
      </w:pPr>
      <w:proofErr w:type="spellStart"/>
      <w:r>
        <w:rPr>
          <w:rFonts w:ascii="Arial" w:hAnsi="Arial" w:cs="Arial"/>
          <w:sz w:val="24"/>
          <w:shd w:val="pct5" w:color="auto" w:fill="auto"/>
        </w:rPr>
        <w:t>RICaD</w:t>
      </w:r>
      <w:proofErr w:type="spellEnd"/>
      <w:r w:rsidR="00A9329C" w:rsidRPr="00BA6026">
        <w:rPr>
          <w:rFonts w:ascii="Arial" w:hAnsi="Arial" w:cs="Arial"/>
          <w:sz w:val="24"/>
          <w:shd w:val="pct5" w:color="auto" w:fill="auto"/>
        </w:rPr>
        <w:t xml:space="preserve">: For the </w:t>
      </w:r>
      <w:r w:rsidR="00E925C6" w:rsidRPr="00BA6026">
        <w:rPr>
          <w:rFonts w:ascii="Arial" w:hAnsi="Arial" w:cs="Arial"/>
          <w:sz w:val="24"/>
          <w:shd w:val="pct5" w:color="auto" w:fill="auto"/>
        </w:rPr>
        <w:t>treatment of osteoporosis</w:t>
      </w:r>
      <w:r w:rsidR="00F805A6">
        <w:rPr>
          <w:rFonts w:ascii="Arial" w:hAnsi="Arial" w:cs="Arial"/>
          <w:sz w:val="24"/>
          <w:shd w:val="pct5" w:color="auto" w:fill="auto"/>
        </w:rPr>
        <w:t xml:space="preserve"> </w:t>
      </w:r>
    </w:p>
    <w:p w14:paraId="6E72AB0D" w14:textId="4A8D4949" w:rsidR="00A9329C" w:rsidRPr="00BA6026" w:rsidRDefault="00612F76">
      <w:pPr>
        <w:rPr>
          <w:rFonts w:ascii="Arial" w:hAnsi="Arial" w:cs="Arial"/>
          <w:sz w:val="12"/>
        </w:rPr>
      </w:pPr>
      <w:r>
        <w:rPr>
          <w:noProof/>
        </w:rPr>
        <mc:AlternateContent>
          <mc:Choice Requires="wps">
            <w:drawing>
              <wp:anchor distT="0" distB="0" distL="114300" distR="114300" simplePos="0" relativeHeight="251657728" behindDoc="0" locked="0" layoutInCell="1" allowOverlap="1" wp14:anchorId="13989564" wp14:editId="13057A2C">
                <wp:simplePos x="0" y="0"/>
                <wp:positionH relativeFrom="margin">
                  <wp:posOffset>11430</wp:posOffset>
                </wp:positionH>
                <wp:positionV relativeFrom="margin">
                  <wp:posOffset>632460</wp:posOffset>
                </wp:positionV>
                <wp:extent cx="2973705" cy="1123315"/>
                <wp:effectExtent l="0" t="0" r="1714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123315"/>
                        </a:xfrm>
                        <a:prstGeom prst="rect">
                          <a:avLst/>
                        </a:prstGeom>
                        <a:solidFill>
                          <a:srgbClr val="FFFFFF"/>
                        </a:solidFill>
                        <a:ln w="9525">
                          <a:solidFill>
                            <a:srgbClr val="000000"/>
                          </a:solidFill>
                          <a:miter lim="800000"/>
                          <a:headEnd/>
                          <a:tailEnd/>
                        </a:ln>
                      </wps:spPr>
                      <wps:txbx>
                        <w:txbxContent>
                          <w:p w14:paraId="04291F7F" w14:textId="77777777" w:rsidR="007E52B6" w:rsidRDefault="007E52B6">
                            <w:r>
                              <w:t>Specialist details:</w:t>
                            </w:r>
                          </w:p>
                          <w:p w14:paraId="38A9FC71" w14:textId="77777777" w:rsidR="007E52B6" w:rsidRDefault="007E52B6">
                            <w:r>
                              <w:t>Name:</w:t>
                            </w:r>
                          </w:p>
                          <w:p w14:paraId="6C464274" w14:textId="77777777" w:rsidR="007E52B6" w:rsidRDefault="007E52B6"/>
                          <w:p w14:paraId="5E706050" w14:textId="77777777" w:rsidR="007E52B6" w:rsidRDefault="007E52B6">
                            <w:r>
                              <w:t>Tel:</w:t>
                            </w:r>
                          </w:p>
                          <w:p w14:paraId="182BC6CA" w14:textId="77777777" w:rsidR="007E52B6" w:rsidRDefault="007E52B6"/>
                          <w:p w14:paraId="6275F22C" w14:textId="77777777" w:rsidR="007E52B6" w:rsidRDefault="006A2D0C">
                            <w:r>
                              <w:t xml:space="preserve">Hospital Pharmacy </w:t>
                            </w:r>
                            <w:proofErr w:type="spellStart"/>
                            <w:r>
                              <w:t>Dept</w:t>
                            </w:r>
                            <w:proofErr w:type="spellEnd"/>
                            <w:r>
                              <w:t>:</w:t>
                            </w:r>
                          </w:p>
                          <w:p w14:paraId="61D86410" w14:textId="77777777" w:rsidR="006A2D0C" w:rsidRDefault="006A2D0C">
                            <w:r>
                              <w:t>Other: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989564" id="_x0000_t202" coordsize="21600,21600" o:spt="202" path="m,l,21600r21600,l21600,xe">
                <v:stroke joinstyle="miter"/>
                <v:path gradientshapeok="t" o:connecttype="rect"/>
              </v:shapetype>
              <v:shape id="Text Box 2" o:spid="_x0000_s1026" type="#_x0000_t202" style="position:absolute;margin-left:.9pt;margin-top:49.8pt;width:234.15pt;height:88.45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">
                <v:textbox style="mso-fit-shape-to-text:t">
                  <w:txbxContent>
                    <w:p w14:paraId="04291F7F" w14:textId="77777777" w:rsidR="007E52B6" w:rsidRDefault="007E52B6">
                      <w:r>
                        <w:t>Specialist details:</w:t>
                      </w:r>
                    </w:p>
                    <w:p w14:paraId="38A9FC71" w14:textId="77777777" w:rsidR="007E52B6" w:rsidRDefault="007E52B6">
                      <w:r>
                        <w:t>Name:</w:t>
                      </w:r>
                    </w:p>
                    <w:p w14:paraId="6C464274" w14:textId="77777777" w:rsidR="007E52B6" w:rsidRDefault="007E52B6"/>
                    <w:p w14:paraId="5E706050" w14:textId="77777777" w:rsidR="007E52B6" w:rsidRDefault="007E52B6">
                      <w:r>
                        <w:t>Tel:</w:t>
                      </w:r>
                    </w:p>
                    <w:p w14:paraId="182BC6CA" w14:textId="77777777" w:rsidR="007E52B6" w:rsidRDefault="007E52B6"/>
                    <w:p w14:paraId="6275F22C" w14:textId="77777777" w:rsidR="007E52B6" w:rsidRDefault="006A2D0C">
                      <w:r>
                        <w:t xml:space="preserve">Hospital Pharmacy </w:t>
                      </w:r>
                      <w:proofErr w:type="spellStart"/>
                      <w:r>
                        <w:t>Dept</w:t>
                      </w:r>
                      <w:proofErr w:type="spellEnd"/>
                      <w:r>
                        <w:t>:</w:t>
                      </w:r>
                    </w:p>
                    <w:p w14:paraId="61D86410" w14:textId="77777777" w:rsidR="006A2D0C" w:rsidRDefault="006A2D0C">
                      <w:r>
                        <w:t>Other:</w:t>
                      </w:r>
                    </w:p>
                  </w:txbxContent>
                </v:textbox>
                <w10:wrap type="square" anchorx="margin" anchory="margin"/>
              </v:shape>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14:anchorId="0ABBFEB8" wp14:editId="4CE1F1C9">
                <wp:simplePos x="0" y="0"/>
                <wp:positionH relativeFrom="margin">
                  <wp:posOffset>3221355</wp:posOffset>
                </wp:positionH>
                <wp:positionV relativeFrom="margin">
                  <wp:posOffset>632460</wp:posOffset>
                </wp:positionV>
                <wp:extent cx="2973705" cy="1123315"/>
                <wp:effectExtent l="0" t="0" r="17145" b="2032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123315"/>
                        </a:xfrm>
                        <a:prstGeom prst="rect">
                          <a:avLst/>
                        </a:prstGeom>
                        <a:solidFill>
                          <a:srgbClr val="FFFFFF"/>
                        </a:solidFill>
                        <a:ln w="9525">
                          <a:solidFill>
                            <a:srgbClr val="000000"/>
                          </a:solidFill>
                          <a:miter lim="800000"/>
                          <a:headEnd/>
                          <a:tailEnd/>
                        </a:ln>
                      </wps:spPr>
                      <wps:txbx>
                        <w:txbxContent>
                          <w:p w14:paraId="24BC43C1" w14:textId="77777777" w:rsidR="007E52B6" w:rsidRDefault="007E52B6" w:rsidP="007E52B6">
                            <w:r>
                              <w:t>Patient details:</w:t>
                            </w:r>
                          </w:p>
                          <w:p w14:paraId="657FF730" w14:textId="77777777" w:rsidR="007E52B6" w:rsidRDefault="007E52B6" w:rsidP="007E52B6"/>
                          <w:p w14:paraId="793ACF7D" w14:textId="77777777" w:rsidR="007E52B6" w:rsidRDefault="007E52B6" w:rsidP="007E52B6"/>
                          <w:p w14:paraId="6036F38E" w14:textId="77777777" w:rsidR="007E52B6" w:rsidRDefault="007E52B6" w:rsidP="007E52B6"/>
                          <w:p w14:paraId="372A863F" w14:textId="77777777" w:rsidR="007E52B6" w:rsidRDefault="007E52B6" w:rsidP="007E52B6"/>
                          <w:p w14:paraId="756CFBCB" w14:textId="77777777" w:rsidR="007E52B6" w:rsidRDefault="007E52B6" w:rsidP="007E52B6"/>
                          <w:p w14:paraId="7104A3F0" w14:textId="77777777" w:rsidR="006A2D0C" w:rsidRDefault="006A2D0C" w:rsidP="007E52B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BBFEB8" id="Text Box 4" o:spid="_x0000_s1027" type="#_x0000_t202" style="position:absolute;margin-left:253.65pt;margin-top:49.8pt;width:234.15pt;height:88.45pt;z-index:25165875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">
                <v:textbox style="mso-fit-shape-to-text:t">
                  <w:txbxContent>
                    <w:p w14:paraId="24BC43C1" w14:textId="77777777" w:rsidR="007E52B6" w:rsidRDefault="007E52B6" w:rsidP="007E52B6">
                      <w:r>
                        <w:t>Patient details:</w:t>
                      </w:r>
                    </w:p>
                    <w:p w14:paraId="657FF730" w14:textId="77777777" w:rsidR="007E52B6" w:rsidRDefault="007E52B6" w:rsidP="007E52B6"/>
                    <w:p w14:paraId="793ACF7D" w14:textId="77777777" w:rsidR="007E52B6" w:rsidRDefault="007E52B6" w:rsidP="007E52B6"/>
                    <w:p w14:paraId="6036F38E" w14:textId="77777777" w:rsidR="007E52B6" w:rsidRDefault="007E52B6" w:rsidP="007E52B6"/>
                    <w:p w14:paraId="372A863F" w14:textId="77777777" w:rsidR="007E52B6" w:rsidRDefault="007E52B6" w:rsidP="007E52B6"/>
                    <w:p w14:paraId="756CFBCB" w14:textId="77777777" w:rsidR="007E52B6" w:rsidRDefault="007E52B6" w:rsidP="007E52B6"/>
                    <w:p w14:paraId="7104A3F0" w14:textId="77777777" w:rsidR="006A2D0C" w:rsidRDefault="006A2D0C" w:rsidP="007E52B6"/>
                  </w:txbxContent>
                </v:textbox>
                <w10:wrap type="square" anchorx="margin" anchory="margin"/>
              </v:shape>
            </w:pict>
          </mc:Fallback>
        </mc:AlternateContent>
      </w:r>
      <w:r w:rsidR="004B1407">
        <w:rPr>
          <w:rFonts w:ascii="Arial" w:hAnsi="Arial" w:cs="Arial"/>
          <w:noProof/>
          <w:sz w:val="12"/>
        </w:rPr>
        <mc:AlternateContent>
          <mc:Choice Requires="wps">
            <w:drawing>
              <wp:anchor distT="0" distB="0" distL="114300" distR="114300" simplePos="0" relativeHeight="251656704" behindDoc="0" locked="0" layoutInCell="0" allowOverlap="1" wp14:anchorId="434768EA" wp14:editId="5208BA2B">
                <wp:simplePos x="0" y="0"/>
                <wp:positionH relativeFrom="column">
                  <wp:posOffset>11430</wp:posOffset>
                </wp:positionH>
                <wp:positionV relativeFrom="paragraph">
                  <wp:posOffset>52070</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31CD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pt" to="483.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0A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" o:allowincell="f"/>
            </w:pict>
          </mc:Fallback>
        </mc:AlternateContent>
      </w:r>
    </w:p>
    <w:p w14:paraId="401900D7" w14:textId="71F12109" w:rsidR="007E52B6" w:rsidRPr="00612F76" w:rsidRDefault="007E52B6">
      <w:pPr>
        <w:pStyle w:val="mtrachead3"/>
        <w:tabs>
          <w:tab w:val="right" w:pos="360"/>
          <w:tab w:val="left" w:pos="540"/>
        </w:tabs>
        <w:rPr>
          <w:rFonts w:ascii="Arial" w:hAnsi="Arial" w:cs="Arial"/>
          <w:sz w:val="12"/>
        </w:rPr>
      </w:pPr>
    </w:p>
    <w:p w14:paraId="75DF29C1" w14:textId="448A04A0" w:rsidR="00A9329C" w:rsidRPr="00BA6026" w:rsidRDefault="00A9329C" w:rsidP="00C16DD8">
      <w:pPr>
        <w:tabs>
          <w:tab w:val="left" w:pos="540"/>
        </w:tabs>
        <w:spacing w:after="120"/>
        <w:jc w:val="both"/>
        <w:rPr>
          <w:rFonts w:ascii="Arial" w:hAnsi="Arial" w:cs="Arial"/>
          <w:b/>
          <w:snapToGrid w:val="0"/>
          <w:lang w:eastAsia="en-US"/>
        </w:rPr>
      </w:pPr>
      <w:r w:rsidRPr="00BA6026">
        <w:rPr>
          <w:rFonts w:ascii="Arial" w:hAnsi="Arial" w:cs="Arial"/>
        </w:rPr>
        <w:t xml:space="preserve">This </w:t>
      </w:r>
      <w:proofErr w:type="spellStart"/>
      <w:r w:rsidR="00537068">
        <w:rPr>
          <w:rFonts w:ascii="Arial" w:hAnsi="Arial" w:cs="Arial"/>
        </w:rPr>
        <w:t>RICaD</w:t>
      </w:r>
      <w:proofErr w:type="spellEnd"/>
      <w:r w:rsidR="00537068">
        <w:rPr>
          <w:rFonts w:ascii="Arial" w:hAnsi="Arial" w:cs="Arial"/>
        </w:rPr>
        <w:t xml:space="preserve"> supports the transfer of t</w:t>
      </w:r>
      <w:r w:rsidRPr="00BA6026">
        <w:rPr>
          <w:rFonts w:ascii="Arial" w:hAnsi="Arial" w:cs="Arial"/>
        </w:rPr>
        <w:t xml:space="preserve">he responsibilities for managing the prescribing of </w:t>
      </w:r>
      <w:r w:rsidR="007E52B6">
        <w:rPr>
          <w:rFonts w:ascii="Arial" w:hAnsi="Arial" w:cs="Arial"/>
        </w:rPr>
        <w:t xml:space="preserve">subcutaneous </w:t>
      </w:r>
      <w:r w:rsidR="00E925C6" w:rsidRPr="00BA6026">
        <w:rPr>
          <w:rFonts w:ascii="Arial" w:hAnsi="Arial" w:cs="Arial"/>
        </w:rPr>
        <w:t>denosumab</w:t>
      </w:r>
      <w:r w:rsidRPr="00BA6026">
        <w:rPr>
          <w:rFonts w:ascii="Arial" w:hAnsi="Arial" w:cs="Arial"/>
        </w:rPr>
        <w:t xml:space="preserve"> in </w:t>
      </w:r>
      <w:r w:rsidR="00C50571">
        <w:rPr>
          <w:rFonts w:ascii="Arial" w:hAnsi="Arial" w:cs="Arial"/>
        </w:rPr>
        <w:t xml:space="preserve">people with osteoporosis </w:t>
      </w:r>
      <w:r w:rsidR="00537068">
        <w:rPr>
          <w:rFonts w:ascii="Arial" w:hAnsi="Arial" w:cs="Arial"/>
        </w:rPr>
        <w:t>from secondary to primary care</w:t>
      </w:r>
      <w:r w:rsidR="007E52B6">
        <w:rPr>
          <w:rFonts w:ascii="Arial" w:hAnsi="Arial" w:cs="Arial"/>
        </w:rPr>
        <w:t>.</w:t>
      </w:r>
      <w:r w:rsidRPr="00BA6026">
        <w:rPr>
          <w:rFonts w:ascii="Arial" w:hAnsi="Arial" w:cs="Arial"/>
        </w:rPr>
        <w:t xml:space="preserve">  GPs </w:t>
      </w:r>
      <w:proofErr w:type="gramStart"/>
      <w:r w:rsidRPr="00BA6026">
        <w:rPr>
          <w:rFonts w:ascii="Arial" w:hAnsi="Arial" w:cs="Arial"/>
        </w:rPr>
        <w:t xml:space="preserve">are </w:t>
      </w:r>
      <w:r w:rsidRPr="00BA6026">
        <w:rPr>
          <w:rFonts w:ascii="Arial" w:hAnsi="Arial" w:cs="Arial"/>
          <w:b/>
        </w:rPr>
        <w:t>invited</w:t>
      </w:r>
      <w:proofErr w:type="gramEnd"/>
      <w:r w:rsidRPr="00BA6026">
        <w:rPr>
          <w:rFonts w:ascii="Arial" w:hAnsi="Arial" w:cs="Arial"/>
        </w:rPr>
        <w:t xml:space="preserve"> to participate.  If the GP is not confident to undertake these roles, then he or she is under no obligation to do so.  In such an event, the total clinical responsibility for the patient for the diagnosed condition remains with the specialist.  </w:t>
      </w:r>
      <w:r w:rsidRPr="00BA6026">
        <w:rPr>
          <w:rFonts w:ascii="Arial" w:hAnsi="Arial" w:cs="Arial"/>
          <w:b/>
        </w:rPr>
        <w:t>If a specialist asks the GP to prescribe</w:t>
      </w:r>
      <w:r w:rsidR="007E52B6">
        <w:rPr>
          <w:rFonts w:ascii="Arial" w:hAnsi="Arial" w:cs="Arial"/>
          <w:b/>
        </w:rPr>
        <w:t xml:space="preserve"> and administer</w:t>
      </w:r>
      <w:r w:rsidRPr="00BA6026">
        <w:rPr>
          <w:rFonts w:ascii="Arial" w:hAnsi="Arial" w:cs="Arial"/>
          <w:b/>
        </w:rPr>
        <w:t xml:space="preserve"> this drug, the GP </w:t>
      </w:r>
      <w:r w:rsidRPr="00BA6026">
        <w:rPr>
          <w:rFonts w:ascii="Arial" w:hAnsi="Arial" w:cs="Arial"/>
          <w:b/>
          <w:snapToGrid w:val="0"/>
          <w:lang w:eastAsia="en-US"/>
        </w:rPr>
        <w:t>should reply to this request as soon as practicable.</w:t>
      </w:r>
    </w:p>
    <w:p w14:paraId="132ECC56" w14:textId="181106EB" w:rsidR="00A9329C" w:rsidRPr="00BA6026" w:rsidRDefault="00537068" w:rsidP="00C16DD8">
      <w:pPr>
        <w:tabs>
          <w:tab w:val="right" w:pos="360"/>
          <w:tab w:val="left" w:pos="540"/>
        </w:tabs>
        <w:spacing w:after="120"/>
        <w:jc w:val="both"/>
        <w:rPr>
          <w:rFonts w:ascii="Arial" w:hAnsi="Arial" w:cs="Arial"/>
          <w:snapToGrid w:val="0"/>
          <w:lang w:eastAsia="en-US"/>
        </w:rPr>
      </w:pPr>
      <w:r>
        <w:rPr>
          <w:rFonts w:ascii="Arial" w:hAnsi="Arial" w:cs="Arial"/>
          <w:snapToGrid w:val="0"/>
          <w:lang w:eastAsia="en-US"/>
        </w:rPr>
        <w:t xml:space="preserve">It </w:t>
      </w:r>
      <w:proofErr w:type="gramStart"/>
      <w:r>
        <w:rPr>
          <w:rFonts w:ascii="Arial" w:hAnsi="Arial" w:cs="Arial"/>
          <w:snapToGrid w:val="0"/>
          <w:lang w:eastAsia="en-US"/>
        </w:rPr>
        <w:t>is intended</w:t>
      </w:r>
      <w:proofErr w:type="gramEnd"/>
      <w:r>
        <w:rPr>
          <w:rFonts w:ascii="Arial" w:hAnsi="Arial" w:cs="Arial"/>
          <w:snapToGrid w:val="0"/>
          <w:lang w:eastAsia="en-US"/>
        </w:rPr>
        <w:t xml:space="preserve"> that the specialist complete this document in order to give Primary Care prescribers a clear indication of the reason for recommending the medication, together with suggested criteria for its subsequent continuation or discontinuation.  </w:t>
      </w:r>
    </w:p>
    <w:p w14:paraId="1128E1F9" w14:textId="60431F70" w:rsidR="00A9329C" w:rsidRDefault="00A9329C" w:rsidP="00C16DD8">
      <w:pPr>
        <w:pStyle w:val="mtrachead3"/>
        <w:keepNext w:val="0"/>
        <w:tabs>
          <w:tab w:val="right" w:pos="360"/>
          <w:tab w:val="left" w:pos="540"/>
        </w:tabs>
        <w:spacing w:after="120"/>
        <w:jc w:val="both"/>
        <w:outlineLvl w:val="9"/>
        <w:rPr>
          <w:rFonts w:ascii="Arial" w:hAnsi="Arial" w:cs="Arial"/>
        </w:rPr>
      </w:pPr>
      <w:r w:rsidRPr="00BA6026">
        <w:rPr>
          <w:rFonts w:ascii="Arial" w:hAnsi="Arial" w:cs="Arial"/>
        </w:rPr>
        <w:t>The doctor who prescribes the medication legally assumes clinical responsibility for the drug and the consequences of its use.</w:t>
      </w:r>
    </w:p>
    <w:p w14:paraId="0A1A0320" w14:textId="761A89D1" w:rsidR="00537068" w:rsidRPr="00370C92" w:rsidRDefault="00537068" w:rsidP="00C16DD8">
      <w:pPr>
        <w:pStyle w:val="mtrachead3"/>
        <w:keepNext w:val="0"/>
        <w:tabs>
          <w:tab w:val="right" w:pos="360"/>
          <w:tab w:val="left" w:pos="540"/>
        </w:tabs>
        <w:spacing w:after="120"/>
        <w:jc w:val="both"/>
        <w:outlineLvl w:val="9"/>
        <w:rPr>
          <w:rFonts w:ascii="Arial" w:hAnsi="Arial" w:cs="Arial"/>
        </w:rPr>
      </w:pPr>
      <w:r w:rsidRPr="00370C92">
        <w:rPr>
          <w:rFonts w:ascii="Arial" w:hAnsi="Arial" w:cs="Arial"/>
        </w:rPr>
        <w:t>Rationale for Choice</w:t>
      </w:r>
    </w:p>
    <w:tbl>
      <w:tblPr>
        <w:tblStyle w:val="TableGrid"/>
        <w:tblW w:w="0" w:type="auto"/>
        <w:tblLook w:val="04A0" w:firstRow="1" w:lastRow="0" w:firstColumn="1" w:lastColumn="0" w:noHBand="0" w:noVBand="1"/>
      </w:tblPr>
      <w:tblGrid>
        <w:gridCol w:w="1838"/>
        <w:gridCol w:w="7791"/>
      </w:tblGrid>
      <w:tr w:rsidR="006328C9" w:rsidRPr="006328C9" w14:paraId="53CF23CC" w14:textId="77777777" w:rsidTr="00233112">
        <w:tc>
          <w:tcPr>
            <w:tcW w:w="1838" w:type="dxa"/>
            <w:vAlign w:val="center"/>
          </w:tcPr>
          <w:p w14:paraId="465F6FDD" w14:textId="79522779" w:rsidR="006328C9" w:rsidRPr="00682292" w:rsidRDefault="006328C9" w:rsidP="00706F2A">
            <w:pPr>
              <w:pStyle w:val="mtrachead3"/>
              <w:keepNext w:val="0"/>
              <w:tabs>
                <w:tab w:val="right" w:pos="360"/>
                <w:tab w:val="left" w:pos="540"/>
              </w:tabs>
              <w:jc w:val="both"/>
              <w:rPr>
                <w:rFonts w:ascii="Arial" w:hAnsi="Arial" w:cs="Arial"/>
                <w:sz w:val="18"/>
              </w:rPr>
            </w:pPr>
            <w:r w:rsidRPr="00682292">
              <w:rPr>
                <w:rFonts w:ascii="Arial" w:hAnsi="Arial" w:cs="Arial"/>
                <w:sz w:val="18"/>
              </w:rPr>
              <w:t>Relevant diagnosis</w:t>
            </w:r>
          </w:p>
        </w:tc>
        <w:tc>
          <w:tcPr>
            <w:tcW w:w="7791" w:type="dxa"/>
            <w:vAlign w:val="center"/>
          </w:tcPr>
          <w:p w14:paraId="565346C7" w14:textId="3BF1DA28" w:rsidR="001F6CB1" w:rsidRPr="006328C9" w:rsidRDefault="001F6CB1" w:rsidP="00F643C8">
            <w:pPr>
              <w:pStyle w:val="mtrachead3"/>
              <w:keepNext w:val="0"/>
              <w:jc w:val="both"/>
              <w:rPr>
                <w:rFonts w:ascii="Arial" w:hAnsi="Arial" w:cs="Arial"/>
                <w:b w:val="0"/>
                <w:sz w:val="18"/>
              </w:rPr>
            </w:pPr>
            <w:r>
              <w:rPr>
                <w:rFonts w:ascii="Arial" w:hAnsi="Arial" w:cs="Arial"/>
                <w:b w:val="0"/>
                <w:sz w:val="18"/>
              </w:rPr>
              <w:t>Osteoporosis</w:t>
            </w:r>
          </w:p>
        </w:tc>
      </w:tr>
      <w:tr w:rsidR="00F643C8" w:rsidRPr="006328C9" w14:paraId="111DB86D" w14:textId="77777777" w:rsidTr="00233112">
        <w:tc>
          <w:tcPr>
            <w:tcW w:w="1838" w:type="dxa"/>
            <w:vAlign w:val="center"/>
          </w:tcPr>
          <w:p w14:paraId="4C9D2B57" w14:textId="4F3FCA6F" w:rsidR="00F643C8" w:rsidRPr="00682292" w:rsidRDefault="00F643C8" w:rsidP="00F643C8">
            <w:pPr>
              <w:pStyle w:val="mtrachead3"/>
              <w:keepNext w:val="0"/>
              <w:tabs>
                <w:tab w:val="right" w:pos="360"/>
                <w:tab w:val="left" w:pos="540"/>
              </w:tabs>
              <w:jc w:val="both"/>
              <w:rPr>
                <w:rFonts w:ascii="Arial" w:hAnsi="Arial" w:cs="Arial"/>
                <w:sz w:val="18"/>
              </w:rPr>
            </w:pPr>
            <w:r w:rsidRPr="00682292">
              <w:rPr>
                <w:rFonts w:ascii="Arial" w:hAnsi="Arial" w:cs="Arial"/>
                <w:sz w:val="18"/>
              </w:rPr>
              <w:t>Reason for choice</w:t>
            </w:r>
          </w:p>
        </w:tc>
        <w:tc>
          <w:tcPr>
            <w:tcW w:w="7791" w:type="dxa"/>
            <w:vAlign w:val="center"/>
          </w:tcPr>
          <w:p w14:paraId="1A2F10DD" w14:textId="08DFE1C1" w:rsidR="00F643C8" w:rsidRPr="000856EB" w:rsidRDefault="000C1FAE" w:rsidP="000856EB">
            <w:pPr>
              <w:pStyle w:val="mtrachead3"/>
              <w:keepNext w:val="0"/>
              <w:numPr>
                <w:ilvl w:val="0"/>
                <w:numId w:val="39"/>
              </w:numPr>
              <w:ind w:left="311" w:hanging="283"/>
              <w:jc w:val="both"/>
              <w:rPr>
                <w:rFonts w:ascii="Arial" w:hAnsi="Arial" w:cs="Arial"/>
                <w:b w:val="0"/>
                <w:sz w:val="18"/>
              </w:rPr>
            </w:pPr>
            <w:r>
              <w:rPr>
                <w:rFonts w:ascii="Arial" w:hAnsi="Arial" w:cs="Arial"/>
                <w:b w:val="0"/>
                <w:sz w:val="18"/>
              </w:rPr>
              <w:t>P</w:t>
            </w:r>
            <w:r w:rsidR="00F643C8">
              <w:rPr>
                <w:rFonts w:ascii="Arial" w:hAnsi="Arial" w:cs="Arial"/>
                <w:b w:val="0"/>
                <w:sz w:val="18"/>
              </w:rPr>
              <w:t xml:space="preserve">revention of </w:t>
            </w:r>
            <w:r w:rsidR="00F643C8" w:rsidRPr="00D4249D">
              <w:rPr>
                <w:rFonts w:ascii="Arial" w:hAnsi="Arial" w:cs="Arial"/>
                <w:b w:val="0"/>
                <w:sz w:val="18"/>
              </w:rPr>
              <w:t>osteoporotic fragility fractures</w:t>
            </w:r>
            <w:r w:rsidR="00F643C8">
              <w:rPr>
                <w:rFonts w:ascii="Arial" w:hAnsi="Arial" w:cs="Arial"/>
                <w:b w:val="0"/>
                <w:sz w:val="18"/>
              </w:rPr>
              <w:t xml:space="preserve"> </w:t>
            </w:r>
            <w:r w:rsidR="00F643C8" w:rsidRPr="00D4249D">
              <w:rPr>
                <w:rFonts w:ascii="Arial" w:hAnsi="Arial" w:cs="Arial"/>
                <w:b w:val="0"/>
                <w:sz w:val="18"/>
              </w:rPr>
              <w:t>in postmenopausal women</w:t>
            </w:r>
            <w:r>
              <w:rPr>
                <w:rFonts w:ascii="Arial" w:hAnsi="Arial" w:cs="Arial"/>
                <w:b w:val="0"/>
                <w:sz w:val="18"/>
              </w:rPr>
              <w:t xml:space="preserve"> and men at increased risk of</w:t>
            </w:r>
            <w:r w:rsidR="000856EB">
              <w:rPr>
                <w:rFonts w:ascii="Arial" w:hAnsi="Arial" w:cs="Arial"/>
                <w:b w:val="0"/>
                <w:sz w:val="18"/>
              </w:rPr>
              <w:t xml:space="preserve"> fragility fractures </w:t>
            </w:r>
            <w:r w:rsidR="00F643C8">
              <w:rPr>
                <w:rFonts w:ascii="Arial" w:hAnsi="Arial" w:cs="Arial"/>
                <w:b w:val="0"/>
                <w:sz w:val="18"/>
              </w:rPr>
              <w:t>, where alendronate or risedronate are contraindicated or not tolerated</w:t>
            </w:r>
            <w:r w:rsidR="000856EB">
              <w:rPr>
                <w:rFonts w:ascii="Arial" w:hAnsi="Arial" w:cs="Arial"/>
                <w:b w:val="0"/>
                <w:sz w:val="18"/>
              </w:rPr>
              <w:t>*</w:t>
            </w:r>
            <w:r w:rsidR="00F643C8">
              <w:rPr>
                <w:rFonts w:ascii="Arial" w:hAnsi="Arial" w:cs="Arial"/>
                <w:b w:val="0"/>
                <w:sz w:val="18"/>
              </w:rPr>
              <w:tab/>
            </w:r>
            <w:r w:rsidR="00F643C8">
              <w:rPr>
                <w:rFonts w:ascii="Arial" w:hAnsi="Arial" w:cs="Arial"/>
                <w:b w:val="0"/>
                <w:sz w:val="18"/>
              </w:rPr>
              <w:tab/>
            </w:r>
            <w:r w:rsidR="000856EB">
              <w:rPr>
                <w:rFonts w:ascii="Arial" w:hAnsi="Arial" w:cs="Arial"/>
                <w:b w:val="0"/>
                <w:sz w:val="18"/>
              </w:rPr>
              <w:tab/>
            </w:r>
            <w:r w:rsidR="000856EB">
              <w:rPr>
                <w:rFonts w:ascii="Arial" w:hAnsi="Arial" w:cs="Arial"/>
                <w:b w:val="0"/>
                <w:sz w:val="18"/>
              </w:rPr>
              <w:tab/>
            </w:r>
            <w:r w:rsidR="000856EB">
              <w:rPr>
                <w:rFonts w:ascii="Arial" w:hAnsi="Arial" w:cs="Arial"/>
                <w:b w:val="0"/>
                <w:sz w:val="18"/>
              </w:rPr>
              <w:tab/>
            </w:r>
            <w:r w:rsidR="000856EB">
              <w:rPr>
                <w:rFonts w:ascii="Arial" w:hAnsi="Arial" w:cs="Arial"/>
                <w:b w:val="0"/>
                <w:sz w:val="18"/>
              </w:rPr>
              <w:tab/>
            </w:r>
            <w:r w:rsidR="000856EB">
              <w:rPr>
                <w:rFonts w:ascii="Arial" w:hAnsi="Arial" w:cs="Arial"/>
                <w:b w:val="0"/>
                <w:sz w:val="18"/>
              </w:rPr>
              <w:tab/>
            </w:r>
            <w:r w:rsidR="000856EB">
              <w:rPr>
                <w:rFonts w:ascii="Arial" w:hAnsi="Arial" w:cs="Arial"/>
                <w:b w:val="0"/>
                <w:sz w:val="18"/>
              </w:rPr>
              <w:tab/>
            </w:r>
            <w:r w:rsidR="000856EB">
              <w:rPr>
                <w:rFonts w:ascii="Arial" w:hAnsi="Arial" w:cs="Arial"/>
                <w:b w:val="0"/>
                <w:sz w:val="18"/>
              </w:rPr>
              <w:tab/>
            </w:r>
            <w:r w:rsidR="00F643C8" w:rsidRPr="00706F2A">
              <w:rPr>
                <w:rFonts w:ascii="Arial" w:hAnsi="Arial" w:cs="Arial"/>
                <w:b w:val="0"/>
                <w:sz w:val="22"/>
              </w:rPr>
              <w:sym w:font="Wingdings" w:char="F0A8"/>
            </w:r>
          </w:p>
          <w:p w14:paraId="44948777" w14:textId="203BA398" w:rsidR="000856EB" w:rsidRPr="000856EB" w:rsidRDefault="000856EB" w:rsidP="00370C92">
            <w:pPr>
              <w:pStyle w:val="mtrachead3"/>
              <w:keepNext w:val="0"/>
              <w:ind w:left="28"/>
              <w:jc w:val="both"/>
              <w:rPr>
                <w:rFonts w:ascii="Arial" w:hAnsi="Arial" w:cs="Arial"/>
                <w:b w:val="0"/>
                <w:i/>
                <w:sz w:val="17"/>
                <w:szCs w:val="17"/>
              </w:rPr>
            </w:pPr>
            <w:r w:rsidRPr="000856EB">
              <w:rPr>
                <w:rFonts w:ascii="Arial" w:hAnsi="Arial" w:cs="Arial"/>
                <w:b w:val="0"/>
                <w:i/>
                <w:sz w:val="17"/>
                <w:szCs w:val="17"/>
              </w:rPr>
              <w:t>*persistent upper gastrointestinal disturbance of sufficient severity to warrant discontinuation, and despite instructions for administration being correctly followed</w:t>
            </w:r>
            <w:r w:rsidR="00370C92">
              <w:rPr>
                <w:rFonts w:ascii="Arial" w:hAnsi="Arial" w:cs="Arial"/>
                <w:b w:val="0"/>
                <w:i/>
                <w:sz w:val="17"/>
                <w:szCs w:val="17"/>
              </w:rPr>
              <w:fldChar w:fldCharType="begin"/>
            </w:r>
            <w:r w:rsidR="00370C92">
              <w:rPr>
                <w:rFonts w:ascii="Arial" w:hAnsi="Arial" w:cs="Arial"/>
                <w:b w:val="0"/>
                <w:i/>
                <w:sz w:val="17"/>
                <w:szCs w:val="17"/>
              </w:rPr>
              <w:instrText xml:space="preserve"> ADDIN EN.CITE &lt;EndNote&gt;&lt;Cite&gt;&lt;Author&gt;Hope S&lt;/Author&gt;&lt;Year&gt;2014&lt;/Year&gt;&lt;RecNum&gt;2695&lt;/RecNum&gt;&lt;DisplayText&gt;&lt;style face="superscript"&gt;1&lt;/style&gt;&lt;/DisplayText&gt;&lt;record&gt;&lt;rec-number&gt;2695&lt;/rec-number&gt;&lt;foreign-keys&gt;&lt;key app="EN" db-id="s020fexp7w92toed99rxszsn2sttrwrazpat" timestamp="1573835327" guid="67dd64c8-5528-47d8-b069-a5bbd1fa24ea"&gt;2695&lt;/key&gt;&lt;/foreign-keys&gt;&lt;ref-type name="Web Page"&gt;12&lt;/ref-type&gt;&lt;contributors&gt;&lt;authors&gt;&lt;author&gt;Hope S,&lt;/author&gt;&lt;author&gt;Copus H,&lt;/author&gt;&lt;author&gt;MKassim J,&lt;/author&gt;&lt;/authors&gt;&lt;/contributors&gt;&lt;titles&gt;&lt;title&gt;Using Denosumab in Primary Care&lt;/title&gt;&lt;/titles&gt;&lt;dates&gt;&lt;year&gt;2014&lt;/year&gt;&lt;/dates&gt;&lt;urls&gt;&lt;related-urls&gt;&lt;url&gt;https://www.ouh.nhs.uk/osteoporosis/documents/InitiatingDenosumabinprimarycare.pdf&lt;/url&gt;&lt;/related-urls&gt;&lt;/urls&gt;&lt;/record&gt;&lt;/Cite&gt;&lt;/EndNote&gt;</w:instrText>
            </w:r>
            <w:r w:rsidR="00370C92">
              <w:rPr>
                <w:rFonts w:ascii="Arial" w:hAnsi="Arial" w:cs="Arial"/>
                <w:b w:val="0"/>
                <w:i/>
                <w:sz w:val="17"/>
                <w:szCs w:val="17"/>
              </w:rPr>
              <w:fldChar w:fldCharType="separate"/>
            </w:r>
            <w:r w:rsidR="00370C92" w:rsidRPr="00370C92">
              <w:rPr>
                <w:rFonts w:ascii="Arial" w:hAnsi="Arial" w:cs="Arial"/>
                <w:b w:val="0"/>
                <w:i/>
                <w:noProof/>
                <w:sz w:val="17"/>
                <w:szCs w:val="17"/>
                <w:vertAlign w:val="superscript"/>
              </w:rPr>
              <w:t>1</w:t>
            </w:r>
            <w:r w:rsidR="00370C92">
              <w:rPr>
                <w:rFonts w:ascii="Arial" w:hAnsi="Arial" w:cs="Arial"/>
                <w:b w:val="0"/>
                <w:i/>
                <w:sz w:val="17"/>
                <w:szCs w:val="17"/>
              </w:rPr>
              <w:fldChar w:fldCharType="end"/>
            </w:r>
          </w:p>
        </w:tc>
      </w:tr>
      <w:tr w:rsidR="00EA18C8" w:rsidRPr="006328C9" w14:paraId="480D8871" w14:textId="77777777" w:rsidTr="00233112">
        <w:tc>
          <w:tcPr>
            <w:tcW w:w="1838" w:type="dxa"/>
            <w:vAlign w:val="center"/>
          </w:tcPr>
          <w:p w14:paraId="13E71703" w14:textId="4549AC0F" w:rsidR="00EA18C8" w:rsidRPr="00682292" w:rsidRDefault="00EA18C8" w:rsidP="00F643C8">
            <w:pPr>
              <w:pStyle w:val="mtrachead3"/>
              <w:keepNext w:val="0"/>
              <w:tabs>
                <w:tab w:val="right" w:pos="360"/>
                <w:tab w:val="left" w:pos="540"/>
              </w:tabs>
              <w:jc w:val="both"/>
              <w:rPr>
                <w:rFonts w:ascii="Arial" w:hAnsi="Arial" w:cs="Arial"/>
                <w:sz w:val="18"/>
              </w:rPr>
            </w:pPr>
            <w:r w:rsidRPr="00682292">
              <w:rPr>
                <w:rFonts w:ascii="Arial" w:hAnsi="Arial" w:cs="Arial"/>
                <w:sz w:val="18"/>
              </w:rPr>
              <w:t>Patient counselling points</w:t>
            </w:r>
          </w:p>
        </w:tc>
        <w:tc>
          <w:tcPr>
            <w:tcW w:w="7791" w:type="dxa"/>
            <w:vAlign w:val="center"/>
          </w:tcPr>
          <w:p w14:paraId="1C0884A6" w14:textId="77777777" w:rsidR="00EA18C8" w:rsidRDefault="00EA18C8" w:rsidP="00EA18C8">
            <w:pPr>
              <w:pStyle w:val="mtrachead3"/>
              <w:keepNext w:val="0"/>
              <w:numPr>
                <w:ilvl w:val="0"/>
                <w:numId w:val="39"/>
              </w:numPr>
              <w:ind w:left="311" w:hanging="283"/>
              <w:jc w:val="both"/>
              <w:rPr>
                <w:rFonts w:ascii="Arial" w:hAnsi="Arial" w:cs="Arial"/>
                <w:b w:val="0"/>
                <w:sz w:val="18"/>
              </w:rPr>
            </w:pPr>
            <w:r>
              <w:rPr>
                <w:rFonts w:ascii="Arial" w:hAnsi="Arial" w:cs="Arial"/>
                <w:b w:val="0"/>
                <w:sz w:val="18"/>
              </w:rPr>
              <w:t>Discuss the benefits and risk of treatment with the patient</w:t>
            </w:r>
          </w:p>
          <w:p w14:paraId="79EAE1C1" w14:textId="77777777" w:rsidR="00EA18C8" w:rsidRDefault="00EA18C8" w:rsidP="00EA18C8">
            <w:pPr>
              <w:pStyle w:val="mtrachead3"/>
              <w:keepNext w:val="0"/>
              <w:numPr>
                <w:ilvl w:val="0"/>
                <w:numId w:val="39"/>
              </w:numPr>
              <w:ind w:left="311" w:hanging="283"/>
              <w:jc w:val="both"/>
              <w:rPr>
                <w:rFonts w:ascii="Arial" w:hAnsi="Arial" w:cs="Arial"/>
                <w:b w:val="0"/>
                <w:sz w:val="18"/>
              </w:rPr>
            </w:pPr>
            <w:r>
              <w:rPr>
                <w:rFonts w:ascii="Arial" w:hAnsi="Arial" w:cs="Arial"/>
                <w:b w:val="0"/>
                <w:sz w:val="18"/>
              </w:rPr>
              <w:t>Advise of the need to adhere to any calcium and vitamin D treatment prescribed</w:t>
            </w:r>
          </w:p>
          <w:p w14:paraId="4F2CBD90" w14:textId="77777777" w:rsidR="00EA18C8" w:rsidRDefault="00EA18C8" w:rsidP="00EA18C8">
            <w:pPr>
              <w:pStyle w:val="mtrachead3"/>
              <w:keepNext w:val="0"/>
              <w:numPr>
                <w:ilvl w:val="0"/>
                <w:numId w:val="39"/>
              </w:numPr>
              <w:ind w:left="311" w:hanging="283"/>
              <w:jc w:val="both"/>
              <w:rPr>
                <w:rFonts w:ascii="Arial" w:hAnsi="Arial" w:cs="Arial"/>
                <w:b w:val="0"/>
                <w:sz w:val="18"/>
              </w:rPr>
            </w:pPr>
            <w:r w:rsidRPr="00EA18C8">
              <w:rPr>
                <w:rFonts w:ascii="Arial" w:hAnsi="Arial" w:cs="Arial"/>
                <w:b w:val="0"/>
                <w:sz w:val="18"/>
              </w:rPr>
              <w:t>Report any other adverse effects or warning symptoms to the specialist or GP whilst receiving denosumab.  Especially, any signs or symptoms of cellulitis, any unusual groin, hip or thigh pain, or chronic ear infections</w:t>
            </w:r>
          </w:p>
          <w:p w14:paraId="236A8218" w14:textId="5C79FA3D" w:rsidR="00EA18C8" w:rsidRPr="00EA18C8" w:rsidRDefault="00EA18C8" w:rsidP="00EA18C8">
            <w:pPr>
              <w:pStyle w:val="mtrachead3"/>
              <w:keepNext w:val="0"/>
              <w:numPr>
                <w:ilvl w:val="0"/>
                <w:numId w:val="39"/>
              </w:numPr>
              <w:ind w:left="311" w:hanging="283"/>
              <w:jc w:val="both"/>
              <w:rPr>
                <w:rFonts w:ascii="Arial" w:hAnsi="Arial" w:cs="Arial"/>
                <w:b w:val="0"/>
                <w:sz w:val="18"/>
              </w:rPr>
            </w:pPr>
            <w:r w:rsidRPr="00EA18C8">
              <w:rPr>
                <w:rFonts w:ascii="Arial" w:hAnsi="Arial" w:cs="Arial"/>
                <w:b w:val="0"/>
                <w:sz w:val="18"/>
              </w:rPr>
              <w:t>Maintain good oral hygiene, with regular dental review if appropriate.  Inform dentist that denosumab treatment has been received</w:t>
            </w:r>
          </w:p>
        </w:tc>
      </w:tr>
      <w:tr w:rsidR="00F643C8" w:rsidRPr="006328C9" w14:paraId="5167097D" w14:textId="77777777" w:rsidTr="00233112">
        <w:tc>
          <w:tcPr>
            <w:tcW w:w="1838" w:type="dxa"/>
            <w:vAlign w:val="center"/>
          </w:tcPr>
          <w:p w14:paraId="3C38D90E" w14:textId="30951A68" w:rsidR="00F643C8" w:rsidRPr="00682292" w:rsidRDefault="00F643C8" w:rsidP="00F643C8">
            <w:pPr>
              <w:pStyle w:val="mtrachead3"/>
              <w:keepNext w:val="0"/>
              <w:tabs>
                <w:tab w:val="right" w:pos="360"/>
                <w:tab w:val="left" w:pos="540"/>
              </w:tabs>
              <w:jc w:val="both"/>
              <w:rPr>
                <w:rFonts w:ascii="Arial" w:hAnsi="Arial" w:cs="Arial"/>
                <w:sz w:val="18"/>
              </w:rPr>
            </w:pPr>
            <w:r w:rsidRPr="00682292">
              <w:rPr>
                <w:rFonts w:ascii="Arial" w:hAnsi="Arial" w:cs="Arial"/>
                <w:sz w:val="18"/>
              </w:rPr>
              <w:t>Special precautions</w:t>
            </w:r>
          </w:p>
        </w:tc>
        <w:tc>
          <w:tcPr>
            <w:tcW w:w="7791" w:type="dxa"/>
            <w:vAlign w:val="center"/>
          </w:tcPr>
          <w:p w14:paraId="149A6054" w14:textId="77777777" w:rsidR="00F643C8" w:rsidRPr="00706F2A" w:rsidRDefault="00F643C8" w:rsidP="00F643C8">
            <w:pPr>
              <w:pStyle w:val="mtrachead5"/>
              <w:spacing w:after="60"/>
              <w:rPr>
                <w:rFonts w:ascii="Arial" w:hAnsi="Arial" w:cs="Arial"/>
                <w:snapToGrid/>
                <w:sz w:val="18"/>
              </w:rPr>
            </w:pPr>
            <w:r w:rsidRPr="00706F2A">
              <w:rPr>
                <w:rFonts w:ascii="Arial" w:hAnsi="Arial" w:cs="Arial"/>
                <w:sz w:val="18"/>
              </w:rPr>
              <w:t xml:space="preserve">Denosumab </w:t>
            </w:r>
            <w:proofErr w:type="gramStart"/>
            <w:r w:rsidRPr="00706F2A">
              <w:rPr>
                <w:rFonts w:ascii="Arial" w:hAnsi="Arial" w:cs="Arial"/>
                <w:sz w:val="18"/>
              </w:rPr>
              <w:t>is contraindicated</w:t>
            </w:r>
            <w:proofErr w:type="gramEnd"/>
            <w:r w:rsidRPr="00706F2A">
              <w:rPr>
                <w:rFonts w:ascii="Arial" w:hAnsi="Arial" w:cs="Arial"/>
                <w:sz w:val="18"/>
              </w:rPr>
              <w:t xml:space="preserve"> in patients with hypersensitivity to denosumab or to any of the excipients.  </w:t>
            </w:r>
            <w:r w:rsidRPr="00706F2A">
              <w:rPr>
                <w:rFonts w:ascii="Arial" w:hAnsi="Arial" w:cs="Arial"/>
                <w:snapToGrid/>
                <w:sz w:val="18"/>
              </w:rPr>
              <w:t xml:space="preserve">Caution </w:t>
            </w:r>
            <w:proofErr w:type="gramStart"/>
            <w:r w:rsidRPr="00706F2A">
              <w:rPr>
                <w:rFonts w:ascii="Arial" w:hAnsi="Arial" w:cs="Arial"/>
                <w:snapToGrid/>
                <w:sz w:val="18"/>
              </w:rPr>
              <w:t>is advised</w:t>
            </w:r>
            <w:proofErr w:type="gramEnd"/>
            <w:r w:rsidRPr="00706F2A">
              <w:rPr>
                <w:rFonts w:ascii="Arial" w:hAnsi="Arial" w:cs="Arial"/>
                <w:snapToGrid/>
                <w:sz w:val="18"/>
              </w:rPr>
              <w:t xml:space="preserve"> in patients with known hypersensitivity to other bisphosphonates.</w:t>
            </w:r>
          </w:p>
          <w:p w14:paraId="016E45A5" w14:textId="3F4907FE" w:rsidR="00F643C8" w:rsidRDefault="00F643C8" w:rsidP="00F643C8">
            <w:pPr>
              <w:spacing w:after="80"/>
              <w:jc w:val="both"/>
              <w:rPr>
                <w:rFonts w:ascii="Arial" w:hAnsi="Arial" w:cs="Arial"/>
                <w:color w:val="000000"/>
                <w:sz w:val="18"/>
                <w:shd w:val="clear" w:color="auto" w:fill="FFFFFF"/>
              </w:rPr>
            </w:pPr>
            <w:r w:rsidRPr="00706F2A">
              <w:rPr>
                <w:rFonts w:ascii="Arial" w:hAnsi="Arial"/>
                <w:i/>
                <w:sz w:val="18"/>
                <w:u w:val="single"/>
              </w:rPr>
              <w:t>Hypocalcaemia (MHRA guidance available; see references):</w:t>
            </w:r>
            <w:r w:rsidRPr="00706F2A">
              <w:rPr>
                <w:rFonts w:ascii="Arial" w:hAnsi="Arial" w:cs="Arial"/>
                <w:i/>
                <w:sz w:val="18"/>
              </w:rPr>
              <w:t xml:space="preserve"> </w:t>
            </w:r>
            <w:proofErr w:type="gramStart"/>
            <w:r w:rsidRPr="00706F2A">
              <w:rPr>
                <w:rFonts w:ascii="Arial" w:hAnsi="Arial" w:cs="Arial"/>
                <w:sz w:val="18"/>
              </w:rPr>
              <w:t>must be corrected</w:t>
            </w:r>
            <w:proofErr w:type="gramEnd"/>
            <w:r w:rsidRPr="00706F2A">
              <w:rPr>
                <w:rFonts w:ascii="Arial" w:hAnsi="Arial" w:cs="Arial"/>
                <w:sz w:val="18"/>
              </w:rPr>
              <w:t xml:space="preserve"> by an adequate intake of calcium and vitamin D before initiating therapy with denosumab.  Patients with severe renal impairment (creatinine clearance &lt; 30 ml/min) or receiving dialysis are at greater risk of developing hypocalcaemia. Clinical monitoring of calcium levels </w:t>
            </w:r>
            <w:proofErr w:type="gramStart"/>
            <w:r w:rsidRPr="00706F2A">
              <w:rPr>
                <w:rFonts w:ascii="Arial" w:hAnsi="Arial" w:cs="Arial"/>
                <w:sz w:val="18"/>
              </w:rPr>
              <w:t>is recommended</w:t>
            </w:r>
            <w:proofErr w:type="gramEnd"/>
            <w:r w:rsidRPr="00706F2A">
              <w:rPr>
                <w:rFonts w:ascii="Arial" w:hAnsi="Arial" w:cs="Arial"/>
                <w:sz w:val="18"/>
              </w:rPr>
              <w:t xml:space="preserve"> for patients predisposed to hypocalcaemia.  According to the </w:t>
            </w:r>
            <w:r w:rsidR="0018462B">
              <w:rPr>
                <w:rFonts w:ascii="Arial" w:hAnsi="Arial" w:cs="Arial"/>
                <w:sz w:val="18"/>
              </w:rPr>
              <w:t>Summary of Product Characteristics,</w:t>
            </w:r>
            <w:r w:rsidR="0018462B">
              <w:rPr>
                <w:rFonts w:ascii="Arial" w:hAnsi="Arial" w:cs="Arial"/>
                <w:sz w:val="18"/>
              </w:rPr>
              <w:fldChar w:fldCharType="begin"/>
            </w:r>
            <w:r w:rsidR="00370C92">
              <w:rPr>
                <w:rFonts w:ascii="Arial" w:hAnsi="Arial" w:cs="Arial"/>
                <w:sz w:val="18"/>
              </w:rPr>
              <w:instrText xml:space="preserve"> ADDIN EN.CITE &lt;EndNote&gt;&lt;Cite&gt;&lt;Author&gt;Amgen&lt;/Author&gt;&lt;Year&gt;2019&lt;/Year&gt;&lt;RecNum&gt;2074&lt;/RecNum&gt;&lt;DisplayText&gt;&lt;style face="superscript"&gt;2&lt;/style&gt;&lt;/DisplayText&gt;&lt;record&gt;&lt;rec-number&gt;2074&lt;/rec-number&gt;&lt;foreign-keys&gt;&lt;key app="EN" db-id="s020fexp7w92toed99rxszsn2sttrwrazpat" timestamp="1557412342" guid="2455f5b0-ea61-4843-aefa-62468bda3139"&gt;2074&lt;/key&gt;&lt;/foreign-keys&gt;&lt;ref-type name="Web Page"&gt;12&lt;/ref-type&gt;&lt;contributors&gt;&lt;authors&gt;&lt;author&gt;Amgen&lt;/author&gt;&lt;/authors&gt;&lt;/contributors&gt;&lt;titles&gt;&lt;title&gt;Prolia&lt;/title&gt;&lt;secondary-title&gt;Summary of Product Characteristics&lt;/secondary-title&gt;&lt;/titles&gt;&lt;reprint-edition&gt;Not in File&lt;/reprint-edition&gt;&lt;dates&gt;&lt;year&gt;2019&lt;/year&gt;&lt;/dates&gt;&lt;label&gt;36&lt;/label&gt;&lt;urls&gt;&lt;related-urls&gt;&lt;url&gt;&lt;style face="underline" font="default" size="100%"&gt;http://www.medicines.org.uk/emc/medicine/23127/SPC/Prolia/&lt;/style&gt;&lt;/url&gt;&lt;/related-urls&gt;&lt;/urls&gt;&lt;/record&gt;&lt;/Cite&gt;&lt;/EndNote&gt;</w:instrText>
            </w:r>
            <w:r w:rsidR="0018462B">
              <w:rPr>
                <w:rFonts w:ascii="Arial" w:hAnsi="Arial" w:cs="Arial"/>
                <w:sz w:val="18"/>
              </w:rPr>
              <w:fldChar w:fldCharType="separate"/>
            </w:r>
            <w:r w:rsidR="00370C92" w:rsidRPr="00370C92">
              <w:rPr>
                <w:rFonts w:ascii="Arial" w:hAnsi="Arial" w:cs="Arial"/>
                <w:noProof/>
                <w:sz w:val="18"/>
                <w:vertAlign w:val="superscript"/>
              </w:rPr>
              <w:t>2</w:t>
            </w:r>
            <w:r w:rsidR="0018462B">
              <w:rPr>
                <w:rFonts w:ascii="Arial" w:hAnsi="Arial" w:cs="Arial"/>
                <w:sz w:val="18"/>
              </w:rPr>
              <w:fldChar w:fldCharType="end"/>
            </w:r>
            <w:r w:rsidRPr="00706F2A">
              <w:rPr>
                <w:rFonts w:ascii="Arial" w:hAnsi="Arial" w:cs="Arial"/>
                <w:sz w:val="18"/>
              </w:rPr>
              <w:t xml:space="preserve"> c</w:t>
            </w:r>
            <w:r w:rsidRPr="00706F2A">
              <w:rPr>
                <w:rFonts w:ascii="Arial" w:hAnsi="Arial" w:cs="Arial"/>
                <w:color w:val="000000"/>
                <w:sz w:val="18"/>
                <w:shd w:val="clear" w:color="auto" w:fill="FFFFFF"/>
              </w:rPr>
              <w:t>oncomitant glucocorticoid treatment is an additional risk factor for hypocalcaemia.</w:t>
            </w:r>
          </w:p>
          <w:p w14:paraId="7E727738" w14:textId="77777777" w:rsidR="00F643C8" w:rsidRPr="00706F2A" w:rsidRDefault="00F643C8" w:rsidP="00F643C8">
            <w:pPr>
              <w:spacing w:after="60"/>
              <w:jc w:val="both"/>
              <w:rPr>
                <w:rFonts w:ascii="Arial" w:hAnsi="Arial" w:cs="Arial"/>
                <w:sz w:val="18"/>
              </w:rPr>
            </w:pPr>
            <w:r w:rsidRPr="00706F2A">
              <w:rPr>
                <w:rFonts w:ascii="Arial" w:hAnsi="Arial"/>
                <w:i/>
                <w:sz w:val="18"/>
                <w:u w:val="single"/>
              </w:rPr>
              <w:t>Skin Infections (cellulitis leading to hospitalisation):</w:t>
            </w:r>
            <w:r w:rsidRPr="00706F2A">
              <w:rPr>
                <w:rFonts w:ascii="Arial" w:hAnsi="Arial" w:cs="Arial"/>
                <w:i/>
                <w:sz w:val="18"/>
              </w:rPr>
              <w:t xml:space="preserve"> </w:t>
            </w:r>
            <w:r w:rsidRPr="00706F2A">
              <w:rPr>
                <w:rFonts w:ascii="Arial" w:hAnsi="Arial" w:cs="Arial"/>
                <w:sz w:val="18"/>
              </w:rPr>
              <w:t>Signs and symptoms include: red, painful, hot, swollen and tender skin that spreads rapidly, that may be accompanied or preceded by fever, malaise, nausea, shivering, and rigors.</w:t>
            </w:r>
          </w:p>
          <w:p w14:paraId="0854ACF7" w14:textId="0A55D05E" w:rsidR="00F643C8" w:rsidRPr="00706F2A" w:rsidRDefault="00F643C8" w:rsidP="00F643C8">
            <w:pPr>
              <w:spacing w:after="60"/>
              <w:jc w:val="both"/>
              <w:rPr>
                <w:rFonts w:ascii="Arial" w:hAnsi="Arial" w:cs="Arial"/>
                <w:sz w:val="18"/>
              </w:rPr>
            </w:pPr>
            <w:r w:rsidRPr="00706F2A">
              <w:rPr>
                <w:rFonts w:ascii="Arial" w:hAnsi="Arial"/>
                <w:i/>
                <w:sz w:val="18"/>
                <w:u w:val="single"/>
              </w:rPr>
              <w:t>Osteonecrosis of the Jaw (ONJ)</w:t>
            </w:r>
            <w:r w:rsidR="0018462B">
              <w:rPr>
                <w:rFonts w:ascii="Arial" w:hAnsi="Arial"/>
                <w:i/>
                <w:sz w:val="18"/>
                <w:u w:val="single"/>
              </w:rPr>
              <w:fldChar w:fldCharType="begin"/>
            </w:r>
            <w:r w:rsidR="00370C92">
              <w:rPr>
                <w:rFonts w:ascii="Arial" w:hAnsi="Arial"/>
                <w:i/>
                <w:sz w:val="18"/>
                <w:u w:val="single"/>
              </w:rPr>
              <w:instrText xml:space="preserve"> ADDIN EN.CITE &lt;EndNote&gt;&lt;Cite&gt;&lt;Author&gt;MHRA&lt;/Author&gt;&lt;Year&gt;2015&lt;/Year&gt;&lt;RecNum&gt;2099&lt;/RecNum&gt;&lt;DisplayText&gt;&lt;style face="superscript"&gt;3&lt;/style&gt;&lt;/DisplayText&gt;&lt;record&gt;&lt;rec-number&gt;2099&lt;/rec-number&gt;&lt;foreign-keys&gt;&lt;key app="EN" db-id="s020fexp7w92toed99rxszsn2sttrwrazpat" timestamp="1557412343" guid="415fa57a-a94f-4332-a505-5b92a3b40b7e"&gt;2099&lt;/key&gt;&lt;/foreign-keys&gt;&lt;ref-type name="Web Page"&gt;12&lt;/ref-type&gt;&lt;contributors&gt;&lt;authors&gt;&lt;author&gt;MHRA,&lt;/author&gt;&lt;/authors&gt;&lt;/contributors&gt;&lt;titles&gt;&lt;title&gt;Denosumab (Xgeva▼, Prolia); intravenous bisphosphonates: osteonecrosis of the jaw—further measures to minimise risk&lt;/title&gt;&lt;/titles&gt;&lt;dates&gt;&lt;year&gt;2015&lt;/year&gt;&lt;/dates&gt;&lt;urls&gt;&lt;related-urls&gt;&lt;url&gt;https://www.gov.uk/drug-safety-update/denosumab-xgeva-prolia-intravenous-bisphosphonates-osteonecrosis-of-the-jaw-further-measures-to-minimise-risk&lt;/url&gt;&lt;/related-urls&gt;&lt;/urls&gt;&lt;/record&gt;&lt;/Cite&gt;&lt;/EndNote&gt;</w:instrText>
            </w:r>
            <w:r w:rsidR="0018462B">
              <w:rPr>
                <w:rFonts w:ascii="Arial" w:hAnsi="Arial"/>
                <w:i/>
                <w:sz w:val="18"/>
                <w:u w:val="single"/>
              </w:rPr>
              <w:fldChar w:fldCharType="separate"/>
            </w:r>
            <w:r w:rsidR="00370C92" w:rsidRPr="00370C92">
              <w:rPr>
                <w:rFonts w:ascii="Arial" w:hAnsi="Arial"/>
                <w:i/>
                <w:noProof/>
                <w:sz w:val="18"/>
                <w:u w:val="single"/>
                <w:vertAlign w:val="superscript"/>
              </w:rPr>
              <w:t>3</w:t>
            </w:r>
            <w:r w:rsidR="0018462B">
              <w:rPr>
                <w:rFonts w:ascii="Arial" w:hAnsi="Arial"/>
                <w:i/>
                <w:sz w:val="18"/>
                <w:u w:val="single"/>
              </w:rPr>
              <w:fldChar w:fldCharType="end"/>
            </w:r>
            <w:r w:rsidRPr="00706F2A">
              <w:rPr>
                <w:rFonts w:ascii="Arial" w:hAnsi="Arial"/>
                <w:sz w:val="18"/>
                <w:u w:val="single"/>
              </w:rPr>
              <w:t>:</w:t>
            </w:r>
            <w:r w:rsidRPr="00706F2A">
              <w:rPr>
                <w:rFonts w:ascii="Arial" w:hAnsi="Arial" w:cs="Arial"/>
                <w:sz w:val="18"/>
              </w:rPr>
              <w:t xml:space="preserve"> has been reported with denosumab and bisphosphonate treatment.  A dental examination with appropriate preventive dentistry </w:t>
            </w:r>
            <w:proofErr w:type="gramStart"/>
            <w:r w:rsidRPr="00706F2A">
              <w:rPr>
                <w:rFonts w:ascii="Arial" w:hAnsi="Arial" w:cs="Arial"/>
                <w:sz w:val="18"/>
              </w:rPr>
              <w:t>should be considered</w:t>
            </w:r>
            <w:proofErr w:type="gramEnd"/>
            <w:r w:rsidRPr="00706F2A">
              <w:rPr>
                <w:rFonts w:ascii="Arial" w:hAnsi="Arial" w:cs="Arial"/>
                <w:sz w:val="18"/>
              </w:rPr>
              <w:t xml:space="preserve"> before treatment with denosumab. </w:t>
            </w:r>
          </w:p>
          <w:p w14:paraId="6BEBD569" w14:textId="0897DF26" w:rsidR="00F643C8" w:rsidRPr="000856EB" w:rsidRDefault="00F643C8" w:rsidP="00370C92">
            <w:pPr>
              <w:spacing w:after="60"/>
              <w:jc w:val="both"/>
              <w:rPr>
                <w:rFonts w:ascii="Arial" w:hAnsi="Arial" w:cs="Arial"/>
                <w:sz w:val="18"/>
              </w:rPr>
            </w:pPr>
            <w:r w:rsidRPr="00706F2A">
              <w:rPr>
                <w:rFonts w:ascii="Arial" w:hAnsi="Arial"/>
                <w:i/>
                <w:sz w:val="18"/>
                <w:u w:val="single"/>
              </w:rPr>
              <w:t>Atypical fractures of the</w:t>
            </w:r>
            <w:r w:rsidR="0018462B">
              <w:rPr>
                <w:rFonts w:ascii="Arial" w:hAnsi="Arial"/>
                <w:i/>
                <w:sz w:val="18"/>
                <w:u w:val="single"/>
              </w:rPr>
              <w:t xml:space="preserve"> femur</w:t>
            </w:r>
            <w:r w:rsidR="0018462B">
              <w:rPr>
                <w:rFonts w:ascii="Arial" w:hAnsi="Arial"/>
                <w:i/>
                <w:sz w:val="18"/>
                <w:u w:val="single"/>
              </w:rPr>
              <w:fldChar w:fldCharType="begin"/>
            </w:r>
            <w:r w:rsidR="00370C92">
              <w:rPr>
                <w:rFonts w:ascii="Arial" w:hAnsi="Arial"/>
                <w:i/>
                <w:sz w:val="18"/>
                <w:u w:val="single"/>
              </w:rPr>
              <w:instrText xml:space="preserve"> ADDIN EN.CITE &lt;EndNote&gt;&lt;Cite&gt;&lt;Author&gt;MHRA&lt;/Author&gt;&lt;Year&gt;2013&lt;/Year&gt;&lt;RecNum&gt;2098&lt;/RecNum&gt;&lt;DisplayText&gt;&lt;style face="superscript"&gt;4&lt;/style&gt;&lt;/DisplayText&gt;&lt;record&gt;&lt;rec-number&gt;2098&lt;/rec-number&gt;&lt;foreign-keys&gt;&lt;key app="EN" db-id="s020fexp7w92toed99rxszsn2sttrwrazpat" timestamp="1557412343" guid="fc995fac-7e9a-459f-a901-0a805a33d6e7"&gt;2098&lt;/key&gt;&lt;/foreign-keys&gt;&lt;ref-type name="Web Page"&gt;12&lt;/ref-type&gt;&lt;contributors&gt;&lt;authors&gt;&lt;author&gt;MHRA,&lt;/author&gt;&lt;/authors&gt;&lt;/contributors&gt;&lt;titles&gt;&lt;title&gt;Denosumab 60 mg (Prolia): rare cases of atypical femoral fracture with long-term use&lt;/title&gt;&lt;/titles&gt;&lt;reprint-edition&gt;Not in File&lt;/reprint-edition&gt;&lt;dates&gt;&lt;year&gt;2013&lt;/year&gt;&lt;/dates&gt;&lt;label&gt;42&lt;/label&gt;&lt;urls&gt;&lt;related-urls&gt;&lt;url&gt;https://www.gov.uk/drug-safety-update/denosumab-60-mg-prolia&lt;/url&gt;&lt;/related-urls&gt;&lt;/urls&gt;&lt;/record&gt;&lt;/Cite&gt;&lt;/EndNote&gt;</w:instrText>
            </w:r>
            <w:r w:rsidR="0018462B">
              <w:rPr>
                <w:rFonts w:ascii="Arial" w:hAnsi="Arial"/>
                <w:i/>
                <w:sz w:val="18"/>
                <w:u w:val="single"/>
              </w:rPr>
              <w:fldChar w:fldCharType="separate"/>
            </w:r>
            <w:r w:rsidR="00370C92" w:rsidRPr="00370C92">
              <w:rPr>
                <w:rFonts w:ascii="Arial" w:hAnsi="Arial"/>
                <w:i/>
                <w:noProof/>
                <w:sz w:val="18"/>
                <w:u w:val="single"/>
                <w:vertAlign w:val="superscript"/>
              </w:rPr>
              <w:t>4</w:t>
            </w:r>
            <w:r w:rsidR="0018462B">
              <w:rPr>
                <w:rFonts w:ascii="Arial" w:hAnsi="Arial"/>
                <w:i/>
                <w:sz w:val="18"/>
                <w:u w:val="single"/>
              </w:rPr>
              <w:fldChar w:fldCharType="end"/>
            </w:r>
            <w:r w:rsidRPr="00706F2A">
              <w:rPr>
                <w:rFonts w:ascii="Arial" w:hAnsi="Arial"/>
                <w:i/>
                <w:sz w:val="18"/>
                <w:u w:val="single"/>
              </w:rPr>
              <w:t>:</w:t>
            </w:r>
            <w:r w:rsidRPr="00706F2A">
              <w:rPr>
                <w:rFonts w:ascii="Arial" w:hAnsi="Arial" w:cs="Arial"/>
                <w:sz w:val="18"/>
              </w:rPr>
              <w:t xml:space="preserve">  Discontinuation of denosumab therapy should be considered if patient reports any new or unusual thigh, hip, or groin pain, pending evaluation of the patient for an atypical femoral fracture, based on an individual benefit risk assessment. </w:t>
            </w:r>
          </w:p>
        </w:tc>
      </w:tr>
      <w:tr w:rsidR="00F643C8" w:rsidRPr="006328C9" w14:paraId="4B072489" w14:textId="77777777" w:rsidTr="00233112">
        <w:trPr>
          <w:trHeight w:val="349"/>
        </w:trPr>
        <w:tc>
          <w:tcPr>
            <w:tcW w:w="1838" w:type="dxa"/>
            <w:vAlign w:val="center"/>
          </w:tcPr>
          <w:p w14:paraId="78E3F36C" w14:textId="2CB31F58" w:rsidR="00F643C8" w:rsidRPr="00682292" w:rsidRDefault="00F643C8" w:rsidP="00F643C8">
            <w:pPr>
              <w:pStyle w:val="mtrachead3"/>
              <w:keepNext w:val="0"/>
              <w:tabs>
                <w:tab w:val="right" w:pos="360"/>
                <w:tab w:val="left" w:pos="540"/>
              </w:tabs>
              <w:jc w:val="both"/>
              <w:rPr>
                <w:rFonts w:ascii="Arial" w:hAnsi="Arial" w:cs="Arial"/>
                <w:sz w:val="18"/>
              </w:rPr>
            </w:pPr>
            <w:r w:rsidRPr="00682292">
              <w:rPr>
                <w:rFonts w:ascii="Arial" w:hAnsi="Arial" w:cs="Arial"/>
                <w:sz w:val="18"/>
              </w:rPr>
              <w:t>Drug interactions</w:t>
            </w:r>
          </w:p>
        </w:tc>
        <w:tc>
          <w:tcPr>
            <w:tcW w:w="7791" w:type="dxa"/>
            <w:vAlign w:val="center"/>
          </w:tcPr>
          <w:p w14:paraId="5BFE6F78" w14:textId="6DAA4F7E" w:rsidR="00F643C8" w:rsidRPr="00706F2A" w:rsidRDefault="00F643C8" w:rsidP="00F643C8">
            <w:pPr>
              <w:pStyle w:val="mtrachead3"/>
              <w:keepNext w:val="0"/>
              <w:tabs>
                <w:tab w:val="right" w:pos="360"/>
                <w:tab w:val="left" w:pos="540"/>
              </w:tabs>
              <w:jc w:val="both"/>
              <w:rPr>
                <w:rFonts w:ascii="Arial" w:hAnsi="Arial" w:cs="Arial"/>
                <w:b w:val="0"/>
                <w:sz w:val="18"/>
              </w:rPr>
            </w:pPr>
            <w:r w:rsidRPr="00706F2A">
              <w:rPr>
                <w:rFonts w:ascii="Arial" w:hAnsi="Arial" w:cs="Arial"/>
                <w:b w:val="0"/>
                <w:sz w:val="18"/>
              </w:rPr>
              <w:t xml:space="preserve">There is low potential for drug-drug interactions (see SPC).  </w:t>
            </w:r>
          </w:p>
        </w:tc>
      </w:tr>
      <w:tr w:rsidR="00F643C8" w:rsidRPr="006328C9" w14:paraId="40E4734D" w14:textId="77777777" w:rsidTr="00233112">
        <w:tc>
          <w:tcPr>
            <w:tcW w:w="1838" w:type="dxa"/>
            <w:vAlign w:val="center"/>
          </w:tcPr>
          <w:p w14:paraId="6C1182B8" w14:textId="10DCB7ED" w:rsidR="00F643C8" w:rsidRPr="00682292" w:rsidRDefault="00F643C8" w:rsidP="00F643C8">
            <w:pPr>
              <w:pStyle w:val="mtrachead3"/>
              <w:keepNext w:val="0"/>
              <w:tabs>
                <w:tab w:val="right" w:pos="360"/>
                <w:tab w:val="left" w:pos="540"/>
              </w:tabs>
              <w:jc w:val="both"/>
              <w:rPr>
                <w:rFonts w:ascii="Arial" w:hAnsi="Arial" w:cs="Arial"/>
                <w:sz w:val="18"/>
              </w:rPr>
            </w:pPr>
            <w:r w:rsidRPr="00682292">
              <w:rPr>
                <w:rFonts w:ascii="Arial" w:hAnsi="Arial" w:cs="Arial"/>
                <w:sz w:val="18"/>
              </w:rPr>
              <w:t>Pre-treatment test results</w:t>
            </w:r>
          </w:p>
        </w:tc>
        <w:tc>
          <w:tcPr>
            <w:tcW w:w="7791" w:type="dxa"/>
            <w:vAlign w:val="center"/>
          </w:tcPr>
          <w:p w14:paraId="5D97BA86" w14:textId="77777777" w:rsidR="00F643C8" w:rsidRPr="000856EB" w:rsidRDefault="000856EB" w:rsidP="00F643C8">
            <w:pPr>
              <w:pStyle w:val="mtrachead3"/>
              <w:keepNext w:val="0"/>
              <w:tabs>
                <w:tab w:val="right" w:pos="360"/>
                <w:tab w:val="left" w:pos="540"/>
              </w:tabs>
              <w:jc w:val="both"/>
              <w:rPr>
                <w:rFonts w:ascii="Arial" w:hAnsi="Arial" w:cs="Arial"/>
                <w:b w:val="0"/>
                <w:sz w:val="18"/>
                <w:szCs w:val="18"/>
              </w:rPr>
            </w:pPr>
            <w:r w:rsidRPr="000856EB">
              <w:rPr>
                <w:rFonts w:ascii="Arial" w:hAnsi="Arial" w:cs="Arial"/>
                <w:b w:val="0"/>
                <w:sz w:val="18"/>
                <w:szCs w:val="18"/>
              </w:rPr>
              <w:t xml:space="preserve">Vitamin D level &gt; 50 </w:t>
            </w:r>
            <w:proofErr w:type="spellStart"/>
            <w:r w:rsidRPr="000856EB">
              <w:rPr>
                <w:rFonts w:ascii="Arial" w:hAnsi="Arial" w:cs="Arial"/>
                <w:b w:val="0"/>
                <w:sz w:val="18"/>
                <w:szCs w:val="18"/>
              </w:rPr>
              <w:t>nmol</w:t>
            </w:r>
            <w:proofErr w:type="spellEnd"/>
            <w:r w:rsidRPr="000856EB">
              <w:rPr>
                <w:rFonts w:ascii="Arial" w:hAnsi="Arial" w:cs="Arial"/>
                <w:b w:val="0"/>
                <w:sz w:val="18"/>
                <w:szCs w:val="18"/>
              </w:rPr>
              <w:t>/l</w:t>
            </w:r>
            <w:r w:rsidRPr="000856EB">
              <w:rPr>
                <w:rFonts w:ascii="Arial" w:hAnsi="Arial" w:cs="Arial"/>
                <w:b w:val="0"/>
                <w:sz w:val="18"/>
                <w:szCs w:val="18"/>
              </w:rPr>
              <w:tab/>
            </w:r>
            <w:r w:rsidRPr="000856EB">
              <w:rPr>
                <w:rFonts w:ascii="Arial" w:hAnsi="Arial" w:cs="Arial"/>
                <w:b w:val="0"/>
                <w:sz w:val="18"/>
                <w:szCs w:val="18"/>
              </w:rPr>
              <w:tab/>
            </w:r>
            <w:r w:rsidRPr="000856EB">
              <w:rPr>
                <w:rFonts w:ascii="Arial" w:hAnsi="Arial" w:cs="Arial"/>
                <w:b w:val="0"/>
                <w:sz w:val="18"/>
                <w:szCs w:val="18"/>
              </w:rPr>
              <w:tab/>
            </w:r>
            <w:r w:rsidRPr="00233112">
              <w:rPr>
                <w:rFonts w:ascii="Arial" w:hAnsi="Arial" w:cs="Arial"/>
                <w:b w:val="0"/>
                <w:sz w:val="22"/>
                <w:szCs w:val="18"/>
              </w:rPr>
              <w:sym w:font="Wingdings" w:char="F0A8"/>
            </w:r>
          </w:p>
          <w:p w14:paraId="30BC8A2E" w14:textId="77777777" w:rsidR="000856EB" w:rsidRDefault="000856EB" w:rsidP="00F643C8">
            <w:pPr>
              <w:pStyle w:val="mtrachead3"/>
              <w:keepNext w:val="0"/>
              <w:tabs>
                <w:tab w:val="right" w:pos="360"/>
                <w:tab w:val="left" w:pos="540"/>
              </w:tabs>
              <w:jc w:val="both"/>
              <w:rPr>
                <w:rFonts w:ascii="Arial" w:hAnsi="Arial" w:cs="Arial"/>
                <w:b w:val="0"/>
                <w:sz w:val="18"/>
                <w:szCs w:val="18"/>
              </w:rPr>
            </w:pPr>
            <w:r w:rsidRPr="000856EB">
              <w:rPr>
                <w:rFonts w:ascii="Arial" w:hAnsi="Arial" w:cs="Arial"/>
                <w:b w:val="0"/>
                <w:sz w:val="18"/>
                <w:szCs w:val="18"/>
              </w:rPr>
              <w:t>eGFR &gt; 30 ml/min</w:t>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sidRPr="00233112">
              <w:rPr>
                <w:rFonts w:ascii="Arial" w:hAnsi="Arial" w:cs="Arial"/>
                <w:b w:val="0"/>
                <w:sz w:val="22"/>
                <w:szCs w:val="18"/>
              </w:rPr>
              <w:sym w:font="Wingdings" w:char="F0A8"/>
            </w:r>
          </w:p>
          <w:p w14:paraId="76D0BCB5" w14:textId="630FCAE9" w:rsidR="000856EB" w:rsidRPr="006328C9" w:rsidRDefault="000856EB" w:rsidP="00F643C8">
            <w:pPr>
              <w:pStyle w:val="mtrachead3"/>
              <w:keepNext w:val="0"/>
              <w:tabs>
                <w:tab w:val="right" w:pos="360"/>
                <w:tab w:val="left" w:pos="540"/>
              </w:tabs>
              <w:jc w:val="both"/>
              <w:rPr>
                <w:rFonts w:ascii="Arial" w:hAnsi="Arial" w:cs="Arial"/>
                <w:b w:val="0"/>
                <w:sz w:val="18"/>
              </w:rPr>
            </w:pPr>
            <w:r>
              <w:rPr>
                <w:rFonts w:ascii="Arial" w:hAnsi="Arial" w:cs="Arial"/>
                <w:b w:val="0"/>
                <w:sz w:val="18"/>
                <w:szCs w:val="18"/>
              </w:rPr>
              <w:t>Normal serum calcium?</w:t>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sidRPr="00233112">
              <w:rPr>
                <w:rFonts w:ascii="Arial" w:hAnsi="Arial" w:cs="Arial"/>
                <w:b w:val="0"/>
                <w:sz w:val="22"/>
                <w:szCs w:val="18"/>
              </w:rPr>
              <w:sym w:font="Wingdings" w:char="F0A8"/>
            </w:r>
          </w:p>
        </w:tc>
      </w:tr>
    </w:tbl>
    <w:p w14:paraId="73260FDB" w14:textId="2E4AE0FD" w:rsidR="00537068" w:rsidRDefault="00537068" w:rsidP="00C16DD8">
      <w:pPr>
        <w:pStyle w:val="mtrachead3"/>
        <w:keepNext w:val="0"/>
        <w:tabs>
          <w:tab w:val="right" w:pos="360"/>
          <w:tab w:val="left" w:pos="540"/>
        </w:tabs>
        <w:spacing w:after="120"/>
        <w:jc w:val="both"/>
        <w:outlineLvl w:val="9"/>
        <w:rPr>
          <w:rFonts w:ascii="Arial" w:hAnsi="Arial" w:cs="Arial"/>
        </w:rPr>
      </w:pPr>
    </w:p>
    <w:p w14:paraId="09A614D8" w14:textId="7CF82479" w:rsidR="00EA18C8" w:rsidRDefault="00EA18C8" w:rsidP="00C16DD8">
      <w:pPr>
        <w:pStyle w:val="mtrachead3"/>
        <w:keepNext w:val="0"/>
        <w:tabs>
          <w:tab w:val="right" w:pos="360"/>
          <w:tab w:val="left" w:pos="540"/>
        </w:tabs>
        <w:spacing w:after="120"/>
        <w:jc w:val="both"/>
        <w:outlineLvl w:val="9"/>
        <w:rPr>
          <w:rFonts w:ascii="Arial" w:hAnsi="Arial" w:cs="Arial"/>
        </w:rPr>
      </w:pPr>
    </w:p>
    <w:p w14:paraId="7448E74A" w14:textId="510298DA" w:rsidR="00537068" w:rsidRPr="00370C92" w:rsidRDefault="00537068" w:rsidP="00C16DD8">
      <w:pPr>
        <w:pStyle w:val="mtrachead3"/>
        <w:keepNext w:val="0"/>
        <w:tabs>
          <w:tab w:val="right" w:pos="360"/>
          <w:tab w:val="left" w:pos="540"/>
        </w:tabs>
        <w:spacing w:after="120"/>
        <w:jc w:val="both"/>
        <w:outlineLvl w:val="9"/>
        <w:rPr>
          <w:rFonts w:ascii="Arial" w:hAnsi="Arial" w:cs="Arial"/>
        </w:rPr>
      </w:pPr>
      <w:r w:rsidRPr="00370C92">
        <w:rPr>
          <w:rFonts w:ascii="Arial" w:hAnsi="Arial" w:cs="Arial"/>
        </w:rPr>
        <w:lastRenderedPageBreak/>
        <w:t xml:space="preserve">Guidance on initiation (to </w:t>
      </w:r>
      <w:proofErr w:type="gramStart"/>
      <w:r w:rsidRPr="00370C92">
        <w:rPr>
          <w:rFonts w:ascii="Arial" w:hAnsi="Arial" w:cs="Arial"/>
        </w:rPr>
        <w:t>be completed</w:t>
      </w:r>
      <w:proofErr w:type="gramEnd"/>
      <w:r w:rsidRPr="00370C92">
        <w:rPr>
          <w:rFonts w:ascii="Arial" w:hAnsi="Arial" w:cs="Arial"/>
        </w:rPr>
        <w:t xml:space="preserve"> by the specialist)</w:t>
      </w:r>
    </w:p>
    <w:tbl>
      <w:tblPr>
        <w:tblStyle w:val="TableGrid"/>
        <w:tblW w:w="0" w:type="auto"/>
        <w:tblLook w:val="04A0" w:firstRow="1" w:lastRow="0" w:firstColumn="1" w:lastColumn="0" w:noHBand="0" w:noVBand="1"/>
      </w:tblPr>
      <w:tblGrid>
        <w:gridCol w:w="1817"/>
        <w:gridCol w:w="7812"/>
      </w:tblGrid>
      <w:tr w:rsidR="003057F1" w:rsidRPr="006D31FE" w14:paraId="75EB15EB" w14:textId="77777777" w:rsidTr="00233112">
        <w:tc>
          <w:tcPr>
            <w:tcW w:w="1817" w:type="dxa"/>
            <w:vAlign w:val="center"/>
          </w:tcPr>
          <w:p w14:paraId="3D27558C" w14:textId="0856ED34" w:rsidR="003057F1" w:rsidRPr="006D31FE" w:rsidRDefault="003057F1" w:rsidP="003057F1">
            <w:pPr>
              <w:pStyle w:val="mtrachead3"/>
              <w:keepNext w:val="0"/>
              <w:tabs>
                <w:tab w:val="right" w:pos="360"/>
                <w:tab w:val="left" w:pos="540"/>
              </w:tabs>
              <w:spacing w:after="120"/>
              <w:jc w:val="both"/>
              <w:rPr>
                <w:rFonts w:ascii="Arial" w:hAnsi="Arial" w:cs="Arial"/>
                <w:sz w:val="18"/>
              </w:rPr>
            </w:pPr>
            <w:r w:rsidRPr="006D31FE">
              <w:rPr>
                <w:rFonts w:ascii="Arial" w:hAnsi="Arial" w:cs="Arial"/>
                <w:sz w:val="18"/>
              </w:rPr>
              <w:t>Initiation dose</w:t>
            </w:r>
          </w:p>
        </w:tc>
        <w:tc>
          <w:tcPr>
            <w:tcW w:w="7812" w:type="dxa"/>
            <w:vAlign w:val="center"/>
          </w:tcPr>
          <w:p w14:paraId="2909BED7" w14:textId="2E785FEB" w:rsidR="003057F1" w:rsidRPr="00D4249D" w:rsidRDefault="003057F1" w:rsidP="003057F1">
            <w:pPr>
              <w:pStyle w:val="mtrachead3"/>
              <w:tabs>
                <w:tab w:val="right" w:pos="360"/>
                <w:tab w:val="left" w:pos="540"/>
              </w:tabs>
              <w:spacing w:after="120"/>
              <w:jc w:val="both"/>
              <w:rPr>
                <w:rFonts w:ascii="Arial" w:hAnsi="Arial" w:cs="Arial"/>
                <w:b w:val="0"/>
                <w:sz w:val="18"/>
              </w:rPr>
            </w:pPr>
            <w:r w:rsidRPr="00D4249D">
              <w:rPr>
                <w:rFonts w:ascii="Arial" w:hAnsi="Arial" w:cs="Arial"/>
                <w:b w:val="0"/>
                <w:sz w:val="18"/>
              </w:rPr>
              <w:t>60mg administered as a single subcutaneous</w:t>
            </w:r>
            <w:r>
              <w:rPr>
                <w:rFonts w:ascii="Arial" w:hAnsi="Arial" w:cs="Arial"/>
                <w:b w:val="0"/>
                <w:sz w:val="18"/>
              </w:rPr>
              <w:t xml:space="preserve"> </w:t>
            </w:r>
            <w:r w:rsidRPr="00D4249D">
              <w:rPr>
                <w:rFonts w:ascii="Arial" w:hAnsi="Arial" w:cs="Arial"/>
                <w:b w:val="0"/>
                <w:sz w:val="18"/>
              </w:rPr>
              <w:t>injection once every 6 months into the thigh, abdomen or back of the arm.</w:t>
            </w:r>
            <w:r>
              <w:rPr>
                <w:rFonts w:ascii="Arial" w:hAnsi="Arial" w:cs="Arial"/>
                <w:b w:val="0"/>
                <w:sz w:val="18"/>
              </w:rPr>
              <w:t xml:space="preserve"> No dose adjustment is indicated in renal impairment and the elderly</w:t>
            </w:r>
          </w:p>
        </w:tc>
      </w:tr>
      <w:tr w:rsidR="003057F1" w:rsidRPr="006D31FE" w14:paraId="2052A6BA" w14:textId="77777777" w:rsidTr="00233112">
        <w:tc>
          <w:tcPr>
            <w:tcW w:w="1817" w:type="dxa"/>
            <w:vAlign w:val="center"/>
          </w:tcPr>
          <w:p w14:paraId="08E984DB" w14:textId="43A6D1D5" w:rsidR="003057F1" w:rsidRDefault="00EA18C8" w:rsidP="003057F1">
            <w:pPr>
              <w:pStyle w:val="mtrachead3"/>
              <w:keepNext w:val="0"/>
              <w:tabs>
                <w:tab w:val="right" w:pos="360"/>
                <w:tab w:val="left" w:pos="540"/>
              </w:tabs>
              <w:spacing w:after="120"/>
              <w:jc w:val="both"/>
              <w:rPr>
                <w:rFonts w:ascii="Arial" w:hAnsi="Arial" w:cs="Arial"/>
                <w:sz w:val="18"/>
              </w:rPr>
            </w:pPr>
            <w:r>
              <w:rPr>
                <w:rFonts w:ascii="Arial" w:hAnsi="Arial" w:cs="Arial"/>
                <w:sz w:val="18"/>
              </w:rPr>
              <w:t>Specific safety concerns</w:t>
            </w:r>
          </w:p>
        </w:tc>
        <w:tc>
          <w:tcPr>
            <w:tcW w:w="7812" w:type="dxa"/>
            <w:vAlign w:val="center"/>
          </w:tcPr>
          <w:p w14:paraId="2B822976" w14:textId="3DA47EA4" w:rsidR="00EA18C8" w:rsidRDefault="003057F1" w:rsidP="00370C92">
            <w:pPr>
              <w:spacing w:before="120"/>
              <w:ind w:left="-32"/>
              <w:jc w:val="both"/>
              <w:rPr>
                <w:rFonts w:ascii="Arial" w:hAnsi="Arial" w:cs="Arial"/>
                <w:sz w:val="18"/>
              </w:rPr>
            </w:pPr>
            <w:r w:rsidRPr="00EA18C8">
              <w:rPr>
                <w:rFonts w:ascii="Arial" w:hAnsi="Arial" w:cs="Arial"/>
                <w:b/>
                <w:sz w:val="18"/>
              </w:rPr>
              <w:t>Adequate intake of calcium and vitamin D is important in all patients</w:t>
            </w:r>
            <w:r w:rsidRPr="00D4249D">
              <w:rPr>
                <w:rFonts w:ascii="Arial" w:hAnsi="Arial" w:cs="Arial"/>
                <w:sz w:val="18"/>
              </w:rPr>
              <w:t xml:space="preserve">. </w:t>
            </w:r>
          </w:p>
          <w:p w14:paraId="3B9B5EBC" w14:textId="3B520419" w:rsidR="00EA18C8" w:rsidRDefault="003057F1" w:rsidP="003057F1">
            <w:pPr>
              <w:ind w:left="-32"/>
              <w:jc w:val="both"/>
              <w:rPr>
                <w:rFonts w:ascii="Arial" w:hAnsi="Arial" w:cs="Arial"/>
                <w:sz w:val="18"/>
              </w:rPr>
            </w:pPr>
            <w:r w:rsidRPr="00D4249D">
              <w:rPr>
                <w:rFonts w:ascii="Arial" w:hAnsi="Arial" w:cs="Arial"/>
                <w:sz w:val="18"/>
              </w:rPr>
              <w:t>MHRA safety alerts (</w:t>
            </w:r>
            <w:r w:rsidR="00EA18C8">
              <w:rPr>
                <w:rFonts w:ascii="Arial" w:hAnsi="Arial" w:cs="Arial"/>
                <w:sz w:val="18"/>
              </w:rPr>
              <w:t>Oct 2012 and Sept 2014) caution</w:t>
            </w:r>
            <w:r w:rsidRPr="00D4249D">
              <w:rPr>
                <w:rFonts w:ascii="Arial" w:hAnsi="Arial" w:cs="Arial"/>
                <w:sz w:val="18"/>
              </w:rPr>
              <w:t xml:space="preserve"> about the</w:t>
            </w:r>
            <w:r>
              <w:rPr>
                <w:rFonts w:ascii="Arial" w:hAnsi="Arial" w:cs="Arial"/>
                <w:sz w:val="18"/>
              </w:rPr>
              <w:t xml:space="preserve"> </w:t>
            </w:r>
            <w:r w:rsidRPr="00D4249D">
              <w:rPr>
                <w:rFonts w:ascii="Arial" w:hAnsi="Arial" w:cs="Arial"/>
                <w:sz w:val="18"/>
              </w:rPr>
              <w:t>risks of hypocalcaemia with denosumab</w:t>
            </w:r>
            <w:r>
              <w:rPr>
                <w:rFonts w:ascii="Arial" w:hAnsi="Arial" w:cs="Arial"/>
                <w:sz w:val="18"/>
              </w:rPr>
              <w:fldChar w:fldCharType="begin"/>
            </w:r>
            <w:r w:rsidR="00370C92">
              <w:rPr>
                <w:rFonts w:ascii="Arial" w:hAnsi="Arial" w:cs="Arial"/>
                <w:sz w:val="18"/>
              </w:rPr>
              <w:instrText xml:space="preserve"> ADDIN EN.CITE &lt;EndNote&gt;&lt;Cite&gt;&lt;Author&gt;MHRA&lt;/Author&gt;&lt;Year&gt;2012&lt;/Year&gt;&lt;RecNum&gt;2097&lt;/RecNum&gt;&lt;DisplayText&gt;&lt;style face="superscript"&gt;5&lt;/style&gt;&lt;/DisplayText&gt;&lt;record&gt;&lt;rec-number&gt;2097&lt;/rec-number&gt;&lt;foreign-keys&gt;&lt;key app="EN" db-id="s020fexp7w92toed99rxszsn2sttrwrazpat" timestamp="1557412343" guid="9d87f3e6-0ce8-4cc3-ad9f-ca52a214aa90"&gt;2097&lt;/key&gt;&lt;/foreign-keys&gt;&lt;ref-type name="Web Page"&gt;12&lt;/ref-type&gt;&lt;contributors&gt;&lt;authors&gt;&lt;author&gt;MHRA,&lt;/author&gt;&lt;/authors&gt;&lt;/contributors&gt;&lt;titles&gt;&lt;title&gt;Denosumab: fatal cases of severe symptomatic hypocalcaemia, and risk of hypocalcaemia at any time during treatment - monitoring recommended&lt;/title&gt;&lt;/titles&gt;&lt;reprint-edition&gt;Not in File&lt;/reprint-edition&gt;&lt;keywords&gt;&lt;keyword&gt;Risk&lt;/keyword&gt;&lt;keyword&gt;Time&lt;/keyword&gt;&lt;/keywords&gt;&lt;dates&gt;&lt;year&gt;2012&lt;/year&gt;&lt;/dates&gt;&lt;label&gt;41&lt;/label&gt;&lt;urls&gt;&lt;related-urls&gt;&lt;url&gt;https://www.gov.uk/drug-safety-update/denosumab-monitoring-recommended&lt;/url&gt;&lt;/related-urls&gt;&lt;/urls&gt;&lt;/record&gt;&lt;/Cite&gt;&lt;/EndNote&gt;</w:instrText>
            </w:r>
            <w:r>
              <w:rPr>
                <w:rFonts w:ascii="Arial" w:hAnsi="Arial" w:cs="Arial"/>
                <w:sz w:val="18"/>
              </w:rPr>
              <w:fldChar w:fldCharType="separate"/>
            </w:r>
            <w:r w:rsidR="00370C92" w:rsidRPr="00370C92">
              <w:rPr>
                <w:rFonts w:ascii="Arial" w:hAnsi="Arial" w:cs="Arial"/>
                <w:noProof/>
                <w:sz w:val="18"/>
                <w:vertAlign w:val="superscript"/>
              </w:rPr>
              <w:t>5</w:t>
            </w:r>
            <w:r>
              <w:rPr>
                <w:rFonts w:ascii="Arial" w:hAnsi="Arial" w:cs="Arial"/>
                <w:sz w:val="18"/>
              </w:rPr>
              <w:fldChar w:fldCharType="end"/>
            </w:r>
            <w:r w:rsidRPr="00D4249D">
              <w:rPr>
                <w:rFonts w:ascii="Arial" w:hAnsi="Arial" w:cs="Arial"/>
                <w:sz w:val="18"/>
              </w:rPr>
              <w:t>. Patients with severe renal</w:t>
            </w:r>
            <w:r>
              <w:rPr>
                <w:rFonts w:ascii="Arial" w:hAnsi="Arial" w:cs="Arial"/>
                <w:sz w:val="18"/>
              </w:rPr>
              <w:t xml:space="preserve"> </w:t>
            </w:r>
            <w:r w:rsidRPr="00D4249D">
              <w:rPr>
                <w:rFonts w:ascii="Arial" w:hAnsi="Arial" w:cs="Arial"/>
                <w:sz w:val="18"/>
              </w:rPr>
              <w:t>impairment (eGFR &lt; 30 mL/min) or receiving dialysis are at greater risk of</w:t>
            </w:r>
            <w:r>
              <w:rPr>
                <w:rFonts w:ascii="Arial" w:hAnsi="Arial" w:cs="Arial"/>
                <w:sz w:val="18"/>
              </w:rPr>
              <w:t xml:space="preserve"> </w:t>
            </w:r>
            <w:r w:rsidRPr="00D4249D">
              <w:rPr>
                <w:rFonts w:ascii="Arial" w:hAnsi="Arial" w:cs="Arial"/>
                <w:sz w:val="18"/>
              </w:rPr>
              <w:t xml:space="preserve">developing hypocalcaemia. </w:t>
            </w:r>
          </w:p>
          <w:p w14:paraId="019A87A6" w14:textId="6BCBCFC1" w:rsidR="003057F1" w:rsidRPr="00D4249D" w:rsidRDefault="003057F1" w:rsidP="00370C92">
            <w:pPr>
              <w:spacing w:after="120"/>
              <w:ind w:left="-32"/>
              <w:jc w:val="both"/>
              <w:rPr>
                <w:rFonts w:ascii="Arial" w:hAnsi="Arial" w:cs="Arial"/>
                <w:sz w:val="18"/>
              </w:rPr>
            </w:pPr>
            <w:r w:rsidRPr="00D4249D">
              <w:rPr>
                <w:rFonts w:ascii="Arial" w:hAnsi="Arial" w:cs="Arial"/>
                <w:sz w:val="18"/>
              </w:rPr>
              <w:t xml:space="preserve">Clinical monitoring of calcium levels </w:t>
            </w:r>
            <w:proofErr w:type="gramStart"/>
            <w:r w:rsidRPr="00D4249D">
              <w:rPr>
                <w:rFonts w:ascii="Arial" w:hAnsi="Arial" w:cs="Arial"/>
                <w:sz w:val="18"/>
              </w:rPr>
              <w:t>is</w:t>
            </w:r>
            <w:r>
              <w:rPr>
                <w:rFonts w:ascii="Arial" w:hAnsi="Arial" w:cs="Arial"/>
                <w:sz w:val="18"/>
              </w:rPr>
              <w:t xml:space="preserve"> </w:t>
            </w:r>
            <w:r w:rsidRPr="00D4249D">
              <w:rPr>
                <w:rFonts w:ascii="Arial" w:hAnsi="Arial" w:cs="Arial"/>
                <w:sz w:val="18"/>
              </w:rPr>
              <w:t>recommended</w:t>
            </w:r>
            <w:proofErr w:type="gramEnd"/>
            <w:r w:rsidRPr="00D4249D">
              <w:rPr>
                <w:rFonts w:ascii="Arial" w:hAnsi="Arial" w:cs="Arial"/>
                <w:sz w:val="18"/>
              </w:rPr>
              <w:t xml:space="preserve"> for patients predisposed to hypocalcaemia (see monitoring,</w:t>
            </w:r>
            <w:r>
              <w:rPr>
                <w:rFonts w:ascii="Arial" w:hAnsi="Arial" w:cs="Arial"/>
                <w:sz w:val="18"/>
              </w:rPr>
              <w:t xml:space="preserve"> </w:t>
            </w:r>
            <w:r w:rsidRPr="00D4249D">
              <w:rPr>
                <w:rFonts w:ascii="Arial" w:hAnsi="Arial" w:cs="Arial"/>
                <w:sz w:val="18"/>
              </w:rPr>
              <w:t xml:space="preserve">below). Patients </w:t>
            </w:r>
            <w:proofErr w:type="gramStart"/>
            <w:r w:rsidRPr="00D4249D">
              <w:rPr>
                <w:rFonts w:ascii="Arial" w:hAnsi="Arial" w:cs="Arial"/>
                <w:sz w:val="18"/>
              </w:rPr>
              <w:t>should be asked</w:t>
            </w:r>
            <w:proofErr w:type="gramEnd"/>
            <w:r w:rsidRPr="00D4249D">
              <w:rPr>
                <w:rFonts w:ascii="Arial" w:hAnsi="Arial" w:cs="Arial"/>
                <w:sz w:val="18"/>
              </w:rPr>
              <w:t xml:space="preserve"> to report symptoms of hypocalcaemia e.g.</w:t>
            </w:r>
            <w:r>
              <w:rPr>
                <w:rFonts w:ascii="Arial" w:hAnsi="Arial" w:cs="Arial"/>
                <w:sz w:val="18"/>
              </w:rPr>
              <w:t xml:space="preserve"> </w:t>
            </w:r>
            <w:r w:rsidRPr="00D4249D">
              <w:rPr>
                <w:rFonts w:ascii="Arial" w:hAnsi="Arial" w:cs="Arial"/>
                <w:sz w:val="18"/>
              </w:rPr>
              <w:t>muscle spasms, cramps or tingling of fingers, toes or around mouth.</w:t>
            </w:r>
          </w:p>
        </w:tc>
      </w:tr>
      <w:tr w:rsidR="003057F1" w:rsidRPr="006D31FE" w14:paraId="75F0EEE0" w14:textId="77777777" w:rsidTr="00233112">
        <w:tc>
          <w:tcPr>
            <w:tcW w:w="1817" w:type="dxa"/>
            <w:vAlign w:val="center"/>
          </w:tcPr>
          <w:p w14:paraId="48B2F5E4" w14:textId="2731341F" w:rsidR="003057F1" w:rsidRPr="006D31FE" w:rsidRDefault="003057F1" w:rsidP="003057F1">
            <w:pPr>
              <w:pStyle w:val="mtrachead3"/>
              <w:keepNext w:val="0"/>
              <w:tabs>
                <w:tab w:val="right" w:pos="360"/>
                <w:tab w:val="left" w:pos="540"/>
              </w:tabs>
              <w:spacing w:after="120"/>
              <w:jc w:val="both"/>
              <w:rPr>
                <w:rFonts w:ascii="Arial" w:hAnsi="Arial" w:cs="Arial"/>
                <w:sz w:val="18"/>
              </w:rPr>
            </w:pPr>
            <w:r>
              <w:rPr>
                <w:rFonts w:ascii="Arial" w:hAnsi="Arial" w:cs="Arial"/>
                <w:sz w:val="18"/>
              </w:rPr>
              <w:t>Monitoring</w:t>
            </w:r>
          </w:p>
        </w:tc>
        <w:tc>
          <w:tcPr>
            <w:tcW w:w="7812" w:type="dxa"/>
            <w:vAlign w:val="center"/>
          </w:tcPr>
          <w:p w14:paraId="14901136" w14:textId="3CAD5BCD" w:rsidR="003057F1" w:rsidRPr="006D31FE" w:rsidRDefault="003057F1" w:rsidP="003057F1">
            <w:pPr>
              <w:pStyle w:val="mtrachead3"/>
              <w:keepNext w:val="0"/>
              <w:tabs>
                <w:tab w:val="right" w:pos="360"/>
                <w:tab w:val="left" w:pos="540"/>
              </w:tabs>
              <w:spacing w:after="120"/>
              <w:jc w:val="both"/>
              <w:rPr>
                <w:rFonts w:ascii="Arial" w:hAnsi="Arial" w:cs="Arial"/>
                <w:b w:val="0"/>
                <w:sz w:val="18"/>
              </w:rPr>
            </w:pPr>
            <w:r>
              <w:rPr>
                <w:rFonts w:ascii="Arial" w:hAnsi="Arial" w:cs="Arial"/>
                <w:b w:val="0"/>
                <w:sz w:val="18"/>
              </w:rPr>
              <w:t>Blood test one month before next injection</w:t>
            </w:r>
          </w:p>
        </w:tc>
      </w:tr>
      <w:tr w:rsidR="00233112" w:rsidRPr="006D31FE" w14:paraId="62EC2D18" w14:textId="77777777" w:rsidTr="00233112">
        <w:tc>
          <w:tcPr>
            <w:tcW w:w="1817" w:type="dxa"/>
            <w:vAlign w:val="center"/>
          </w:tcPr>
          <w:p w14:paraId="2A9B40FF" w14:textId="77777777" w:rsidR="00233112" w:rsidRPr="006D31FE" w:rsidRDefault="00233112" w:rsidP="00BA5D72">
            <w:pPr>
              <w:pStyle w:val="mtrachead3"/>
              <w:keepNext w:val="0"/>
              <w:tabs>
                <w:tab w:val="right" w:pos="360"/>
                <w:tab w:val="left" w:pos="540"/>
              </w:tabs>
              <w:spacing w:after="120"/>
              <w:jc w:val="both"/>
              <w:rPr>
                <w:rFonts w:ascii="Arial" w:hAnsi="Arial" w:cs="Arial"/>
                <w:sz w:val="18"/>
              </w:rPr>
            </w:pPr>
            <w:r>
              <w:rPr>
                <w:rFonts w:ascii="Arial" w:hAnsi="Arial" w:cs="Arial"/>
                <w:sz w:val="18"/>
              </w:rPr>
              <w:t>Frequency</w:t>
            </w:r>
          </w:p>
        </w:tc>
        <w:tc>
          <w:tcPr>
            <w:tcW w:w="7812" w:type="dxa"/>
            <w:vAlign w:val="center"/>
          </w:tcPr>
          <w:p w14:paraId="21194EAE" w14:textId="77777777" w:rsidR="00233112" w:rsidRPr="006D31FE" w:rsidRDefault="00233112" w:rsidP="00BA5D72">
            <w:pPr>
              <w:pStyle w:val="mtrachead3"/>
              <w:keepNext w:val="0"/>
              <w:tabs>
                <w:tab w:val="right" w:pos="360"/>
                <w:tab w:val="left" w:pos="540"/>
              </w:tabs>
              <w:spacing w:after="120"/>
              <w:jc w:val="both"/>
              <w:rPr>
                <w:rFonts w:ascii="Arial" w:hAnsi="Arial" w:cs="Arial"/>
                <w:b w:val="0"/>
                <w:sz w:val="18"/>
              </w:rPr>
            </w:pPr>
            <w:r>
              <w:rPr>
                <w:rFonts w:ascii="Arial" w:hAnsi="Arial" w:cs="Arial"/>
                <w:b w:val="0"/>
                <w:sz w:val="18"/>
              </w:rPr>
              <w:t>Ensure that the practice system is set to book any pre-treatment tests i.e. calcium/vitamin D levels for the patient after five months, and an appointment for the next denosumab injection after six months</w:t>
            </w:r>
          </w:p>
        </w:tc>
      </w:tr>
      <w:tr w:rsidR="00EA18C8" w:rsidRPr="006D31FE" w14:paraId="4B25763E" w14:textId="77777777" w:rsidTr="00233112">
        <w:tc>
          <w:tcPr>
            <w:tcW w:w="1817" w:type="dxa"/>
            <w:vAlign w:val="center"/>
          </w:tcPr>
          <w:p w14:paraId="15CA66C1" w14:textId="1A441BFD" w:rsidR="00EA18C8" w:rsidRDefault="00EA18C8" w:rsidP="003057F1">
            <w:pPr>
              <w:pStyle w:val="mtrachead3"/>
              <w:keepNext w:val="0"/>
              <w:tabs>
                <w:tab w:val="right" w:pos="360"/>
                <w:tab w:val="left" w:pos="540"/>
              </w:tabs>
              <w:spacing w:after="120"/>
              <w:jc w:val="both"/>
              <w:rPr>
                <w:rFonts w:ascii="Arial" w:hAnsi="Arial" w:cs="Arial"/>
                <w:sz w:val="18"/>
              </w:rPr>
            </w:pPr>
            <w:r>
              <w:rPr>
                <w:rFonts w:ascii="Arial" w:hAnsi="Arial" w:cs="Arial"/>
                <w:sz w:val="18"/>
              </w:rPr>
              <w:t>Follow up of first dose</w:t>
            </w:r>
          </w:p>
        </w:tc>
        <w:tc>
          <w:tcPr>
            <w:tcW w:w="7812" w:type="dxa"/>
            <w:vAlign w:val="center"/>
          </w:tcPr>
          <w:p w14:paraId="10D4B4B6" w14:textId="5397121D" w:rsidR="00EA18C8" w:rsidRDefault="00EA18C8" w:rsidP="003057F1">
            <w:pPr>
              <w:pStyle w:val="mtrachead3"/>
              <w:keepNext w:val="0"/>
              <w:tabs>
                <w:tab w:val="right" w:pos="360"/>
                <w:tab w:val="left" w:pos="540"/>
              </w:tabs>
              <w:spacing w:after="120"/>
              <w:jc w:val="both"/>
              <w:rPr>
                <w:rFonts w:ascii="Arial" w:hAnsi="Arial" w:cs="Arial"/>
                <w:b w:val="0"/>
                <w:sz w:val="18"/>
              </w:rPr>
            </w:pPr>
            <w:r>
              <w:rPr>
                <w:rFonts w:ascii="Arial" w:hAnsi="Arial" w:cs="Arial"/>
                <w:b w:val="0"/>
                <w:sz w:val="18"/>
              </w:rPr>
              <w:t>Agree with the GP who will be responsible for a) following up the patients response to treatment and b) administering the second dose</w:t>
            </w:r>
          </w:p>
        </w:tc>
      </w:tr>
      <w:tr w:rsidR="003057F1" w:rsidRPr="006D31FE" w14:paraId="16D816E9" w14:textId="77777777" w:rsidTr="00233112">
        <w:tc>
          <w:tcPr>
            <w:tcW w:w="1817" w:type="dxa"/>
            <w:vAlign w:val="center"/>
          </w:tcPr>
          <w:p w14:paraId="321DD515" w14:textId="10FFFCE5" w:rsidR="003057F1" w:rsidRDefault="003057F1" w:rsidP="003057F1">
            <w:pPr>
              <w:pStyle w:val="mtrachead3"/>
              <w:keepNext w:val="0"/>
              <w:tabs>
                <w:tab w:val="right" w:pos="360"/>
                <w:tab w:val="left" w:pos="540"/>
              </w:tabs>
              <w:spacing w:after="120"/>
              <w:jc w:val="both"/>
              <w:rPr>
                <w:rFonts w:ascii="Arial" w:hAnsi="Arial" w:cs="Arial"/>
                <w:sz w:val="18"/>
              </w:rPr>
            </w:pPr>
            <w:r>
              <w:rPr>
                <w:rFonts w:ascii="Arial" w:hAnsi="Arial" w:cs="Arial"/>
                <w:sz w:val="18"/>
              </w:rPr>
              <w:t>Specialist recommendations</w:t>
            </w:r>
            <w:r w:rsidR="00233112">
              <w:rPr>
                <w:rFonts w:ascii="Arial" w:hAnsi="Arial" w:cs="Arial"/>
                <w:sz w:val="18"/>
              </w:rPr>
              <w:t>, any additional information</w:t>
            </w:r>
          </w:p>
        </w:tc>
        <w:tc>
          <w:tcPr>
            <w:tcW w:w="7812" w:type="dxa"/>
            <w:vAlign w:val="center"/>
          </w:tcPr>
          <w:p w14:paraId="3D844857" w14:textId="2B3463A3" w:rsidR="00682292" w:rsidRPr="006D31FE" w:rsidRDefault="00682292" w:rsidP="003057F1">
            <w:pPr>
              <w:pStyle w:val="mtrachead3"/>
              <w:keepNext w:val="0"/>
              <w:tabs>
                <w:tab w:val="right" w:pos="360"/>
                <w:tab w:val="left" w:pos="540"/>
              </w:tabs>
              <w:spacing w:after="120"/>
              <w:jc w:val="both"/>
              <w:rPr>
                <w:rFonts w:ascii="Arial" w:hAnsi="Arial" w:cs="Arial"/>
                <w:b w:val="0"/>
                <w:sz w:val="18"/>
              </w:rPr>
            </w:pPr>
          </w:p>
        </w:tc>
      </w:tr>
    </w:tbl>
    <w:p w14:paraId="6BFCD1AE" w14:textId="5D04EF54" w:rsidR="00537068" w:rsidRDefault="00537068" w:rsidP="00C16DD8">
      <w:pPr>
        <w:pStyle w:val="mtrachead3"/>
        <w:keepNext w:val="0"/>
        <w:tabs>
          <w:tab w:val="right" w:pos="360"/>
          <w:tab w:val="left" w:pos="540"/>
        </w:tabs>
        <w:spacing w:after="120"/>
        <w:jc w:val="both"/>
        <w:outlineLvl w:val="9"/>
        <w:rPr>
          <w:rFonts w:ascii="Arial" w:hAnsi="Arial" w:cs="Arial"/>
        </w:rPr>
      </w:pPr>
    </w:p>
    <w:p w14:paraId="0AB72C95" w14:textId="58A09F1B" w:rsidR="003057F1" w:rsidRPr="00370C92" w:rsidRDefault="00537068" w:rsidP="003057F1">
      <w:pPr>
        <w:pStyle w:val="mtrachead3"/>
        <w:keepNext w:val="0"/>
        <w:tabs>
          <w:tab w:val="right" w:pos="360"/>
          <w:tab w:val="left" w:pos="540"/>
        </w:tabs>
        <w:spacing w:after="120"/>
        <w:jc w:val="both"/>
        <w:outlineLvl w:val="9"/>
        <w:rPr>
          <w:rFonts w:ascii="Arial" w:hAnsi="Arial" w:cs="Arial"/>
        </w:rPr>
      </w:pPr>
      <w:r w:rsidRPr="00370C92">
        <w:rPr>
          <w:rFonts w:ascii="Arial" w:hAnsi="Arial" w:cs="Arial"/>
        </w:rPr>
        <w:t>Suggested criteria for Continuation or Discontinuation</w:t>
      </w:r>
      <w:r w:rsidR="00233112">
        <w:rPr>
          <w:rFonts w:ascii="Arial" w:hAnsi="Arial" w:cs="Arial"/>
        </w:rPr>
        <w:t xml:space="preserve"> after 5 years’ treatment</w:t>
      </w:r>
    </w:p>
    <w:tbl>
      <w:tblPr>
        <w:tblStyle w:val="TableGrid"/>
        <w:tblW w:w="0" w:type="auto"/>
        <w:tblLook w:val="04A0" w:firstRow="1" w:lastRow="0" w:firstColumn="1" w:lastColumn="0" w:noHBand="0" w:noVBand="1"/>
      </w:tblPr>
      <w:tblGrid>
        <w:gridCol w:w="1696"/>
        <w:gridCol w:w="7933"/>
      </w:tblGrid>
      <w:tr w:rsidR="006328C9" w:rsidRPr="006D31FE" w14:paraId="67CDFA4C" w14:textId="77777777" w:rsidTr="00233112">
        <w:tc>
          <w:tcPr>
            <w:tcW w:w="1696" w:type="dxa"/>
            <w:vAlign w:val="center"/>
          </w:tcPr>
          <w:p w14:paraId="4DE57135" w14:textId="0F2B07BF" w:rsidR="006328C9" w:rsidRPr="006D31FE" w:rsidRDefault="006328C9" w:rsidP="00442860">
            <w:pPr>
              <w:pStyle w:val="mtrachead3"/>
              <w:keepNext w:val="0"/>
              <w:tabs>
                <w:tab w:val="right" w:pos="360"/>
                <w:tab w:val="left" w:pos="540"/>
              </w:tabs>
              <w:spacing w:after="120"/>
              <w:jc w:val="both"/>
              <w:rPr>
                <w:rFonts w:ascii="Arial" w:hAnsi="Arial" w:cs="Arial"/>
                <w:sz w:val="18"/>
              </w:rPr>
            </w:pPr>
            <w:r>
              <w:rPr>
                <w:rFonts w:ascii="Arial" w:hAnsi="Arial" w:cs="Arial"/>
                <w:sz w:val="18"/>
              </w:rPr>
              <w:t>Location</w:t>
            </w:r>
          </w:p>
        </w:tc>
        <w:tc>
          <w:tcPr>
            <w:tcW w:w="7933" w:type="dxa"/>
            <w:vAlign w:val="center"/>
          </w:tcPr>
          <w:p w14:paraId="7634EF51" w14:textId="1335C1D5" w:rsidR="006328C9" w:rsidRPr="006D31FE" w:rsidRDefault="00233112" w:rsidP="00442860">
            <w:pPr>
              <w:pStyle w:val="mtrachead3"/>
              <w:keepNext w:val="0"/>
              <w:tabs>
                <w:tab w:val="right" w:pos="360"/>
                <w:tab w:val="left" w:pos="540"/>
              </w:tabs>
              <w:spacing w:after="120"/>
              <w:jc w:val="both"/>
              <w:rPr>
                <w:rFonts w:ascii="Arial" w:hAnsi="Arial" w:cs="Arial"/>
                <w:b w:val="0"/>
                <w:sz w:val="18"/>
              </w:rPr>
            </w:pPr>
            <w:r>
              <w:rPr>
                <w:rFonts w:ascii="Arial" w:hAnsi="Arial" w:cs="Arial"/>
                <w:b w:val="0"/>
                <w:sz w:val="18"/>
              </w:rPr>
              <w:t>Secondary care</w:t>
            </w:r>
          </w:p>
        </w:tc>
      </w:tr>
      <w:tr w:rsidR="006328C9" w:rsidRPr="006D31FE" w14:paraId="42DCE68D" w14:textId="77777777" w:rsidTr="00233112">
        <w:tc>
          <w:tcPr>
            <w:tcW w:w="1696" w:type="dxa"/>
            <w:vAlign w:val="center"/>
          </w:tcPr>
          <w:p w14:paraId="4319F6CA" w14:textId="53009A97" w:rsidR="006328C9" w:rsidRDefault="006328C9" w:rsidP="00442860">
            <w:pPr>
              <w:pStyle w:val="mtrachead3"/>
              <w:keepNext w:val="0"/>
              <w:tabs>
                <w:tab w:val="right" w:pos="360"/>
                <w:tab w:val="left" w:pos="540"/>
              </w:tabs>
              <w:spacing w:after="120"/>
              <w:jc w:val="both"/>
              <w:rPr>
                <w:rFonts w:ascii="Arial" w:hAnsi="Arial" w:cs="Arial"/>
                <w:sz w:val="18"/>
              </w:rPr>
            </w:pPr>
            <w:r>
              <w:rPr>
                <w:rFonts w:ascii="Arial" w:hAnsi="Arial" w:cs="Arial"/>
                <w:sz w:val="18"/>
              </w:rPr>
              <w:t>Continuation criteria</w:t>
            </w:r>
          </w:p>
        </w:tc>
        <w:tc>
          <w:tcPr>
            <w:tcW w:w="7933" w:type="dxa"/>
            <w:vAlign w:val="center"/>
          </w:tcPr>
          <w:p w14:paraId="561D734B" w14:textId="67DC4527" w:rsidR="006328C9" w:rsidRPr="006D31FE" w:rsidRDefault="00706F2A" w:rsidP="00442860">
            <w:pPr>
              <w:pStyle w:val="mtrachead3"/>
              <w:keepNext w:val="0"/>
              <w:tabs>
                <w:tab w:val="right" w:pos="360"/>
                <w:tab w:val="left" w:pos="540"/>
              </w:tabs>
              <w:spacing w:after="120"/>
              <w:jc w:val="both"/>
              <w:rPr>
                <w:rFonts w:ascii="Arial" w:hAnsi="Arial" w:cs="Arial"/>
                <w:b w:val="0"/>
                <w:sz w:val="18"/>
              </w:rPr>
            </w:pPr>
            <w:r>
              <w:rPr>
                <w:rFonts w:ascii="Arial" w:hAnsi="Arial" w:cs="Arial"/>
                <w:b w:val="0"/>
                <w:sz w:val="18"/>
              </w:rPr>
              <w:t>Continued high risk of a fracture</w:t>
            </w:r>
          </w:p>
        </w:tc>
      </w:tr>
      <w:tr w:rsidR="006328C9" w:rsidRPr="006D31FE" w14:paraId="21E6D7EF" w14:textId="77777777" w:rsidTr="00233112">
        <w:tc>
          <w:tcPr>
            <w:tcW w:w="1696" w:type="dxa"/>
            <w:vAlign w:val="center"/>
          </w:tcPr>
          <w:p w14:paraId="2A7C6BD4" w14:textId="7517AFCB" w:rsidR="006328C9" w:rsidRDefault="006328C9" w:rsidP="00442860">
            <w:pPr>
              <w:pStyle w:val="mtrachead3"/>
              <w:keepNext w:val="0"/>
              <w:tabs>
                <w:tab w:val="right" w:pos="360"/>
                <w:tab w:val="left" w:pos="540"/>
              </w:tabs>
              <w:spacing w:after="120"/>
              <w:jc w:val="both"/>
              <w:rPr>
                <w:rFonts w:ascii="Arial" w:hAnsi="Arial" w:cs="Arial"/>
                <w:sz w:val="18"/>
              </w:rPr>
            </w:pPr>
            <w:r>
              <w:rPr>
                <w:rFonts w:ascii="Arial" w:hAnsi="Arial" w:cs="Arial"/>
                <w:sz w:val="18"/>
              </w:rPr>
              <w:t>Review</w:t>
            </w:r>
          </w:p>
        </w:tc>
        <w:tc>
          <w:tcPr>
            <w:tcW w:w="7933" w:type="dxa"/>
            <w:vAlign w:val="center"/>
          </w:tcPr>
          <w:p w14:paraId="024165B1" w14:textId="09239BE9" w:rsidR="006328C9" w:rsidRPr="006D31FE" w:rsidRDefault="00B639AE" w:rsidP="00370C92">
            <w:pPr>
              <w:pStyle w:val="mtrachead3"/>
              <w:keepNext w:val="0"/>
              <w:tabs>
                <w:tab w:val="right" w:pos="360"/>
                <w:tab w:val="left" w:pos="540"/>
              </w:tabs>
              <w:spacing w:after="120"/>
              <w:jc w:val="both"/>
              <w:rPr>
                <w:rFonts w:ascii="Arial" w:hAnsi="Arial" w:cs="Arial"/>
                <w:b w:val="0"/>
                <w:sz w:val="18"/>
              </w:rPr>
            </w:pPr>
            <w:r>
              <w:rPr>
                <w:rFonts w:ascii="Arial" w:hAnsi="Arial" w:cs="Arial"/>
                <w:b w:val="0"/>
                <w:sz w:val="18"/>
              </w:rPr>
              <w:t>After five years of treatment; continue denosumab if patient still at high risk of fractures (BMD T-score &lt;2, or &lt;2.5 with multiple vertebral fractures, or high fracture risk score)</w:t>
            </w:r>
            <w:r w:rsidR="009C0A1C">
              <w:rPr>
                <w:rFonts w:ascii="Arial" w:hAnsi="Arial" w:cs="Arial"/>
                <w:b w:val="0"/>
                <w:sz w:val="18"/>
              </w:rPr>
              <w:fldChar w:fldCharType="begin"/>
            </w:r>
            <w:r w:rsidR="00370C92">
              <w:rPr>
                <w:rFonts w:ascii="Arial" w:hAnsi="Arial" w:cs="Arial"/>
                <w:b w:val="0"/>
                <w:sz w:val="18"/>
              </w:rPr>
              <w:instrText xml:space="preserve"> ADDIN EN.CITE &lt;EndNote&gt;&lt;Cite&gt;&lt;Author&gt;Tsourdi&lt;/Author&gt;&lt;Year&gt;2017&lt;/Year&gt;&lt;RecNum&gt;2643&lt;/RecNum&gt;&lt;DisplayText&gt;&lt;style face="superscript"&gt;6&lt;/style&gt;&lt;/DisplayText&gt;&lt;record&gt;&lt;rec-number&gt;2643&lt;/rec-number&gt;&lt;foreign-keys&gt;&lt;key app="EN" db-id="s020fexp7w92toed99rxszsn2sttrwrazpat" timestamp="1569855615" guid="88e45720-aca0-4559-bee8-922f3f92be41"&gt;2643&lt;/key&gt;&lt;/foreign-keys&gt;&lt;ref-type name="Journal Article"&gt;17&lt;/ref-type&gt;&lt;contributors&gt;&lt;authors&gt;&lt;author&gt;Tsourdi, Elena&lt;/author&gt;&lt;author&gt;Langdahl, Bente&lt;/author&gt;&lt;author&gt;Cohen-Solal, Martine&lt;/author&gt;&lt;author&gt;Aubry-Rozier, Bérengere&lt;/author&gt;&lt;author&gt;Eriksen, Erik Fink&lt;/author&gt;&lt;author&gt;Guañabens, Nuria&lt;/author&gt;&lt;author&gt;Obermayer-Pietsch, Barbara&lt;/author&gt;&lt;author&gt;Ralston, Stuart H.&lt;/author&gt;&lt;author&gt;Eastell, Richard&lt;/author&gt;&lt;author&gt;Zillikens, M. Carola&lt;/author&gt;&lt;/authors&gt;&lt;/contributors&gt;&lt;titles&gt;&lt;title&gt;Discontinuation of Denosumab therapy for osteoporosis: A systematic review and position statement by ECTS&lt;/title&gt;&lt;secondary-title&gt;Bone&lt;/secondary-title&gt;&lt;/titles&gt;&lt;periodical&gt;&lt;full-title&gt;Bone&lt;/full-title&gt;&lt;/periodical&gt;&lt;pages&gt;11-17&lt;/pages&gt;&lt;volume&gt;105&lt;/volume&gt;&lt;keywords&gt;&lt;keyword&gt;Osteoporosis treatment&lt;/keyword&gt;&lt;keyword&gt;Denosumab&lt;/keyword&gt;&lt;keyword&gt;Discontinuation&lt;/keyword&gt;&lt;keyword&gt;Fractures&lt;/keyword&gt;&lt;keyword&gt;Position paper&lt;/keyword&gt;&lt;/keywords&gt;&lt;dates&gt;&lt;year&gt;2017&lt;/year&gt;&lt;pub-dates&gt;&lt;date&gt;2017/12/01/&lt;/date&gt;&lt;/pub-dates&gt;&lt;/dates&gt;&lt;isbn&gt;8756-3282&lt;/isbn&gt;&lt;urls&gt;&lt;related-urls&gt;&lt;url&gt;http://www.sciencedirect.com/science/article/pii/S8756328217302673&lt;/url&gt;&lt;/related-urls&gt;&lt;/urls&gt;&lt;electronic-resource-num&gt;https://doi.org/10.1016/j.bone.2017.08.003&lt;/electronic-resource-num&gt;&lt;/record&gt;&lt;/Cite&gt;&lt;/EndNote&gt;</w:instrText>
            </w:r>
            <w:r w:rsidR="009C0A1C">
              <w:rPr>
                <w:rFonts w:ascii="Arial" w:hAnsi="Arial" w:cs="Arial"/>
                <w:b w:val="0"/>
                <w:sz w:val="18"/>
              </w:rPr>
              <w:fldChar w:fldCharType="separate"/>
            </w:r>
            <w:r w:rsidR="00370C92" w:rsidRPr="00370C92">
              <w:rPr>
                <w:rFonts w:ascii="Arial" w:hAnsi="Arial" w:cs="Arial"/>
                <w:b w:val="0"/>
                <w:noProof/>
                <w:sz w:val="18"/>
                <w:vertAlign w:val="superscript"/>
              </w:rPr>
              <w:t>6</w:t>
            </w:r>
            <w:r w:rsidR="009C0A1C">
              <w:rPr>
                <w:rFonts w:ascii="Arial" w:hAnsi="Arial" w:cs="Arial"/>
                <w:b w:val="0"/>
                <w:sz w:val="18"/>
              </w:rPr>
              <w:fldChar w:fldCharType="end"/>
            </w:r>
            <w:r>
              <w:rPr>
                <w:rFonts w:ascii="Arial" w:hAnsi="Arial" w:cs="Arial"/>
                <w:b w:val="0"/>
                <w:sz w:val="18"/>
              </w:rPr>
              <w:t>.</w:t>
            </w:r>
            <w:r w:rsidR="009C0A1C">
              <w:rPr>
                <w:rFonts w:ascii="Arial" w:hAnsi="Arial" w:cs="Arial"/>
                <w:b w:val="0"/>
                <w:sz w:val="18"/>
              </w:rPr>
              <w:t xml:space="preserve">  </w:t>
            </w:r>
            <w:r w:rsidR="00EB2420">
              <w:rPr>
                <w:rFonts w:ascii="Arial" w:hAnsi="Arial" w:cs="Arial"/>
                <w:b w:val="0"/>
                <w:sz w:val="18"/>
              </w:rPr>
              <w:t>There is no evidence to guide decisions beyond 10 years of treatment, and management options in such patients should be considered on an individual basis</w:t>
            </w:r>
            <w:r w:rsidR="00EB2420">
              <w:rPr>
                <w:rFonts w:ascii="Arial" w:hAnsi="Arial" w:cs="Arial"/>
                <w:sz w:val="18"/>
              </w:rPr>
              <w:fldChar w:fldCharType="begin"/>
            </w:r>
            <w:r w:rsidR="00370C92">
              <w:rPr>
                <w:rFonts w:ascii="Arial" w:hAnsi="Arial" w:cs="Arial"/>
                <w:sz w:val="18"/>
              </w:rPr>
              <w:instrText xml:space="preserve"> ADDIN EN.CITE &lt;EndNote&gt;&lt;Cite&gt;&lt;RecNum&gt;2070&lt;/RecNum&gt;&lt;DisplayText&gt;&lt;style face="superscript"&gt;7&lt;/style&gt;&lt;/DisplayText&gt;&lt;record&gt;&lt;rec-number&gt;2070&lt;/rec-number&gt;&lt;foreign-keys&gt;&lt;key app="EN" db-id="s020fexp7w92toed99rxszsn2sttrwrazpat" timestamp="1557412342" guid="68d19730-e33b-4074-9925-c8f85b0dcf68"&gt;2070&lt;/key&gt;&lt;/foreign-keys&gt;&lt;ref-type name="Electronic Article"&gt;43&lt;/ref-type&gt;&lt;contributors&gt;&lt;/contributors&gt;&lt;titles&gt;&lt;title&gt;NOGG 2017: Clinical guideline for the prevention and treatment of osteoporosis&lt;/title&gt;&lt;/titles&gt;&lt;dates&gt;&lt;/dates&gt;&lt;urls&gt;&lt;related-urls&gt;&lt;url&gt;https://www.sheffield.ac.uk/NOGG/NOGG%20Guideline%202017.pdf&lt;/url&gt;&lt;/related-urls&gt;&lt;/urls&gt;&lt;/record&gt;&lt;/Cite&gt;&lt;/EndNote&gt;</w:instrText>
            </w:r>
            <w:r w:rsidR="00EB2420">
              <w:rPr>
                <w:rFonts w:ascii="Arial" w:hAnsi="Arial" w:cs="Arial"/>
                <w:sz w:val="18"/>
              </w:rPr>
              <w:fldChar w:fldCharType="separate"/>
            </w:r>
            <w:r w:rsidR="00370C92" w:rsidRPr="00370C92">
              <w:rPr>
                <w:rFonts w:ascii="Arial" w:hAnsi="Arial" w:cs="Arial"/>
                <w:noProof/>
                <w:sz w:val="18"/>
                <w:vertAlign w:val="superscript"/>
              </w:rPr>
              <w:t>7</w:t>
            </w:r>
            <w:r w:rsidR="00EB2420">
              <w:rPr>
                <w:rFonts w:ascii="Arial" w:hAnsi="Arial" w:cs="Arial"/>
                <w:sz w:val="18"/>
              </w:rPr>
              <w:fldChar w:fldCharType="end"/>
            </w:r>
            <w:r w:rsidR="00EB2420">
              <w:rPr>
                <w:rFonts w:ascii="Arial" w:hAnsi="Arial" w:cs="Arial"/>
                <w:b w:val="0"/>
                <w:sz w:val="18"/>
              </w:rPr>
              <w:t>.</w:t>
            </w:r>
          </w:p>
        </w:tc>
      </w:tr>
      <w:tr w:rsidR="006328C9" w:rsidRPr="006D31FE" w14:paraId="09C8129B" w14:textId="77777777" w:rsidTr="00233112">
        <w:tc>
          <w:tcPr>
            <w:tcW w:w="1696" w:type="dxa"/>
            <w:vAlign w:val="center"/>
          </w:tcPr>
          <w:p w14:paraId="39454D1C" w14:textId="16C2DCFE" w:rsidR="006328C9" w:rsidRDefault="006328C9" w:rsidP="00442860">
            <w:pPr>
              <w:pStyle w:val="mtrachead3"/>
              <w:keepNext w:val="0"/>
              <w:tabs>
                <w:tab w:val="right" w:pos="360"/>
                <w:tab w:val="left" w:pos="540"/>
              </w:tabs>
              <w:spacing w:after="120"/>
              <w:jc w:val="both"/>
              <w:rPr>
                <w:rFonts w:ascii="Arial" w:hAnsi="Arial" w:cs="Arial"/>
                <w:sz w:val="18"/>
              </w:rPr>
            </w:pPr>
            <w:r>
              <w:rPr>
                <w:rFonts w:ascii="Arial" w:hAnsi="Arial" w:cs="Arial"/>
                <w:sz w:val="18"/>
              </w:rPr>
              <w:t>Discontinuation criteria</w:t>
            </w:r>
          </w:p>
        </w:tc>
        <w:tc>
          <w:tcPr>
            <w:tcW w:w="7933" w:type="dxa"/>
            <w:vAlign w:val="center"/>
          </w:tcPr>
          <w:p w14:paraId="32ABF44E" w14:textId="23BD373E" w:rsidR="006328C9" w:rsidRPr="00706F2A" w:rsidRDefault="00706F2A" w:rsidP="00233112">
            <w:pPr>
              <w:rPr>
                <w:rFonts w:ascii="Arial" w:hAnsi="Arial" w:cs="Arial"/>
              </w:rPr>
            </w:pPr>
            <w:r w:rsidRPr="00706F2A">
              <w:rPr>
                <w:rFonts w:ascii="Arial" w:hAnsi="Arial" w:cs="Arial"/>
                <w:sz w:val="18"/>
              </w:rPr>
              <w:t>Based on current data</w:t>
            </w:r>
            <w:r w:rsidR="00233112">
              <w:rPr>
                <w:rFonts w:ascii="Arial" w:hAnsi="Arial" w:cs="Arial"/>
                <w:b/>
                <w:sz w:val="18"/>
              </w:rPr>
              <w:fldChar w:fldCharType="begin"/>
            </w:r>
            <w:r w:rsidR="00233112">
              <w:rPr>
                <w:rFonts w:ascii="Arial" w:hAnsi="Arial" w:cs="Arial"/>
                <w:b/>
                <w:sz w:val="18"/>
              </w:rPr>
              <w:instrText xml:space="preserve"> ADDIN EN.CITE &lt;EndNote&gt;&lt;Cite&gt;&lt;Author&gt;Tsourdi&lt;/Author&gt;&lt;Year&gt;2017&lt;/Year&gt;&lt;RecNum&gt;2643&lt;/RecNum&gt;&lt;DisplayText&gt;&lt;style face="superscript"&gt;6&lt;/style&gt;&lt;/DisplayText&gt;&lt;record&gt;&lt;rec-number&gt;2643&lt;/rec-number&gt;&lt;foreign-keys&gt;&lt;key app="EN" db-id="s020fexp7w92toed99rxszsn2sttrwrazpat" timestamp="1569855615" guid="88e45720-aca0-4559-bee8-922f3f92be41"&gt;2643&lt;/key&gt;&lt;/foreign-keys&gt;&lt;ref-type name="Journal Article"&gt;17&lt;/ref-type&gt;&lt;contributors&gt;&lt;authors&gt;&lt;author&gt;Tsourdi, Elena&lt;/author&gt;&lt;author&gt;Langdahl, Bente&lt;/author&gt;&lt;author&gt;Cohen-Solal, Martine&lt;/author&gt;&lt;author&gt;Aubry-Rozier, Bérengere&lt;/author&gt;&lt;author&gt;Eriksen, Erik Fink&lt;/author&gt;&lt;author&gt;Guañabens, Nuria&lt;/author&gt;&lt;author&gt;Obermayer-Pietsch, Barbara&lt;/author&gt;&lt;author&gt;Ralston, Stuart H.&lt;/author&gt;&lt;author&gt;Eastell, Richard&lt;/author&gt;&lt;author&gt;Zillikens, M. Carola&lt;/author&gt;&lt;/authors&gt;&lt;/contributors&gt;&lt;titles&gt;&lt;title&gt;Discontinuation of Denosumab therapy for osteoporosis: A systematic review and position statement by ECTS&lt;/title&gt;&lt;secondary-title&gt;Bone&lt;/secondary-title&gt;&lt;/titles&gt;&lt;periodical&gt;&lt;full-title&gt;Bone&lt;/full-title&gt;&lt;/periodical&gt;&lt;pages&gt;11-17&lt;/pages&gt;&lt;volume&gt;105&lt;/volume&gt;&lt;keywords&gt;&lt;keyword&gt;Osteoporosis treatment&lt;/keyword&gt;&lt;keyword&gt;Denosumab&lt;/keyword&gt;&lt;keyword&gt;Discontinuation&lt;/keyword&gt;&lt;keyword&gt;Fractures&lt;/keyword&gt;&lt;keyword&gt;Position paper&lt;/keyword&gt;&lt;/keywords&gt;&lt;dates&gt;&lt;year&gt;2017&lt;/year&gt;&lt;pub-dates&gt;&lt;date&gt;2017/12/01/&lt;/date&gt;&lt;/pub-dates&gt;&lt;/dates&gt;&lt;isbn&gt;8756-3282&lt;/isbn&gt;&lt;urls&gt;&lt;related-urls&gt;&lt;url&gt;http://www.sciencedirect.com/science/article/pii/S8756328217302673&lt;/url&gt;&lt;/related-urls&gt;&lt;/urls&gt;&lt;electronic-resource-num&gt;https://doi.org/10.1016/j.bone.2017.08.003&lt;/electronic-resource-num&gt;&lt;/record&gt;&lt;/Cite&gt;&lt;/EndNote&gt;</w:instrText>
            </w:r>
            <w:r w:rsidR="00233112">
              <w:rPr>
                <w:rFonts w:ascii="Arial" w:hAnsi="Arial" w:cs="Arial"/>
                <w:b/>
                <w:sz w:val="18"/>
              </w:rPr>
              <w:fldChar w:fldCharType="separate"/>
            </w:r>
            <w:r w:rsidR="00233112" w:rsidRPr="00370C92">
              <w:rPr>
                <w:rFonts w:ascii="Arial" w:hAnsi="Arial" w:cs="Arial"/>
                <w:b/>
                <w:noProof/>
                <w:sz w:val="18"/>
                <w:vertAlign w:val="superscript"/>
              </w:rPr>
              <w:t>6</w:t>
            </w:r>
            <w:r w:rsidR="00233112">
              <w:rPr>
                <w:rFonts w:ascii="Arial" w:hAnsi="Arial" w:cs="Arial"/>
                <w:b/>
                <w:sz w:val="18"/>
              </w:rPr>
              <w:fldChar w:fldCharType="end"/>
            </w:r>
            <w:r w:rsidR="00233112" w:rsidRPr="00233112">
              <w:rPr>
                <w:rFonts w:ascii="Arial" w:hAnsi="Arial" w:cs="Arial"/>
                <w:b/>
                <w:sz w:val="18"/>
                <w:vertAlign w:val="superscript"/>
              </w:rPr>
              <w:t>,</w:t>
            </w:r>
            <w:r w:rsidR="00233112">
              <w:rPr>
                <w:rFonts w:ascii="Arial" w:hAnsi="Arial" w:cs="Arial"/>
                <w:sz w:val="18"/>
              </w:rPr>
              <w:fldChar w:fldCharType="begin"/>
            </w:r>
            <w:r w:rsidR="00233112">
              <w:rPr>
                <w:rFonts w:ascii="Arial" w:hAnsi="Arial" w:cs="Arial"/>
                <w:sz w:val="18"/>
              </w:rPr>
              <w:instrText xml:space="preserve"> ADDIN EN.CITE &lt;EndNote&gt;&lt;Cite&gt;&lt;RecNum&gt;2070&lt;/RecNum&gt;&lt;DisplayText&gt;&lt;style face="superscript"&gt;7&lt;/style&gt;&lt;/DisplayText&gt;&lt;record&gt;&lt;rec-number&gt;2070&lt;/rec-number&gt;&lt;foreign-keys&gt;&lt;key app="EN" db-id="s020fexp7w92toed99rxszsn2sttrwrazpat" timestamp="1557412342" guid="68d19730-e33b-4074-9925-c8f85b0dcf68"&gt;2070&lt;/key&gt;&lt;/foreign-keys&gt;&lt;ref-type name="Electronic Article"&gt;43&lt;/ref-type&gt;&lt;contributors&gt;&lt;/contributors&gt;&lt;titles&gt;&lt;title&gt;NOGG 2017: Clinical guideline for the prevention and treatment of osteoporosis&lt;/title&gt;&lt;/titles&gt;&lt;dates&gt;&lt;/dates&gt;&lt;urls&gt;&lt;related-urls&gt;&lt;url&gt;https://www.sheffield.ac.uk/NOGG/NOGG%20Guideline%202017.pdf&lt;/url&gt;&lt;/related-urls&gt;&lt;/urls&gt;&lt;/record&gt;&lt;/Cite&gt;&lt;/EndNote&gt;</w:instrText>
            </w:r>
            <w:r w:rsidR="00233112">
              <w:rPr>
                <w:rFonts w:ascii="Arial" w:hAnsi="Arial" w:cs="Arial"/>
                <w:sz w:val="18"/>
              </w:rPr>
              <w:fldChar w:fldCharType="separate"/>
            </w:r>
            <w:r w:rsidR="00233112" w:rsidRPr="00370C92">
              <w:rPr>
                <w:rFonts w:ascii="Arial" w:hAnsi="Arial" w:cs="Arial"/>
                <w:noProof/>
                <w:sz w:val="18"/>
                <w:vertAlign w:val="superscript"/>
              </w:rPr>
              <w:t>7</w:t>
            </w:r>
            <w:r w:rsidR="00233112">
              <w:rPr>
                <w:rFonts w:ascii="Arial" w:hAnsi="Arial" w:cs="Arial"/>
                <w:sz w:val="18"/>
              </w:rPr>
              <w:fldChar w:fldCharType="end"/>
            </w:r>
            <w:r w:rsidRPr="00706F2A">
              <w:rPr>
                <w:rFonts w:ascii="Arial" w:hAnsi="Arial" w:cs="Arial"/>
                <w:sz w:val="18"/>
              </w:rPr>
              <w:t>, denosumab should not be stopped without considering alternative treatment in order to prevent rapid BMD loss and a potential rebound in vertebral fracture risk</w:t>
            </w:r>
            <w:r w:rsidR="00EB2420">
              <w:rPr>
                <w:rFonts w:ascii="Arial" w:hAnsi="Arial" w:cs="Arial"/>
                <w:sz w:val="18"/>
              </w:rPr>
              <w:fldChar w:fldCharType="begin"/>
            </w:r>
            <w:r w:rsidR="00370C92">
              <w:rPr>
                <w:rFonts w:ascii="Arial" w:hAnsi="Arial" w:cs="Arial"/>
                <w:sz w:val="18"/>
              </w:rPr>
              <w:instrText xml:space="preserve"> ADDIN EN.CITE &lt;EndNote&gt;&lt;Cite&gt;&lt;RecNum&gt;2070&lt;/RecNum&gt;&lt;DisplayText&gt;&lt;style face="superscript"&gt;7&lt;/style&gt;&lt;/DisplayText&gt;&lt;record&gt;&lt;rec-number&gt;2070&lt;/rec-number&gt;&lt;foreign-keys&gt;&lt;key app="EN" db-id="s020fexp7w92toed99rxszsn2sttrwrazpat" timestamp="1557412342" guid="68d19730-e33b-4074-9925-c8f85b0dcf68"&gt;2070&lt;/key&gt;&lt;/foreign-keys&gt;&lt;ref-type name="Electronic Article"&gt;43&lt;/ref-type&gt;&lt;contributors&gt;&lt;/contributors&gt;&lt;titles&gt;&lt;title&gt;NOGG 2017: Clinical guideline for the prevention and treatment of osteoporosis&lt;/title&gt;&lt;/titles&gt;&lt;dates&gt;&lt;/dates&gt;&lt;urls&gt;&lt;related-urls&gt;&lt;url&gt;https://www.sheffield.ac.uk/NOGG/NOGG%20Guideline%202017.pdf&lt;/url&gt;&lt;/related-urls&gt;&lt;/urls&gt;&lt;/record&gt;&lt;/Cite&gt;&lt;/EndNote&gt;</w:instrText>
            </w:r>
            <w:r w:rsidR="00EB2420">
              <w:rPr>
                <w:rFonts w:ascii="Arial" w:hAnsi="Arial" w:cs="Arial"/>
                <w:sz w:val="18"/>
              </w:rPr>
              <w:fldChar w:fldCharType="separate"/>
            </w:r>
            <w:r w:rsidR="00370C92" w:rsidRPr="00370C92">
              <w:rPr>
                <w:rFonts w:ascii="Arial" w:hAnsi="Arial" w:cs="Arial"/>
                <w:noProof/>
                <w:sz w:val="18"/>
                <w:vertAlign w:val="superscript"/>
              </w:rPr>
              <w:t>7</w:t>
            </w:r>
            <w:r w:rsidR="00EB2420">
              <w:rPr>
                <w:rFonts w:ascii="Arial" w:hAnsi="Arial" w:cs="Arial"/>
                <w:sz w:val="18"/>
              </w:rPr>
              <w:fldChar w:fldCharType="end"/>
            </w:r>
            <w:r w:rsidRPr="00706F2A">
              <w:rPr>
                <w:rFonts w:ascii="Arial" w:hAnsi="Arial" w:cs="Arial"/>
                <w:sz w:val="18"/>
              </w:rPr>
              <w:t>.</w:t>
            </w:r>
            <w:r w:rsidR="00CD6959" w:rsidRPr="00706F2A">
              <w:rPr>
                <w:rFonts w:ascii="Arial" w:hAnsi="Arial" w:cs="Arial"/>
              </w:rPr>
              <w:t xml:space="preserve"> </w:t>
            </w:r>
          </w:p>
        </w:tc>
      </w:tr>
      <w:tr w:rsidR="006328C9" w:rsidRPr="006D31FE" w14:paraId="3A210E26" w14:textId="77777777" w:rsidTr="00682292">
        <w:tc>
          <w:tcPr>
            <w:tcW w:w="1696" w:type="dxa"/>
            <w:vAlign w:val="center"/>
          </w:tcPr>
          <w:p w14:paraId="319C2F19" w14:textId="4892FDC6" w:rsidR="006328C9" w:rsidRDefault="006328C9" w:rsidP="00442860">
            <w:pPr>
              <w:pStyle w:val="mtrachead3"/>
              <w:keepNext w:val="0"/>
              <w:tabs>
                <w:tab w:val="right" w:pos="360"/>
                <w:tab w:val="left" w:pos="540"/>
              </w:tabs>
              <w:spacing w:after="120"/>
              <w:jc w:val="both"/>
              <w:rPr>
                <w:rFonts w:ascii="Arial" w:hAnsi="Arial" w:cs="Arial"/>
                <w:sz w:val="18"/>
              </w:rPr>
            </w:pPr>
            <w:r>
              <w:rPr>
                <w:rFonts w:ascii="Arial" w:hAnsi="Arial" w:cs="Arial"/>
                <w:sz w:val="18"/>
              </w:rPr>
              <w:t>Follow up action</w:t>
            </w:r>
          </w:p>
        </w:tc>
        <w:tc>
          <w:tcPr>
            <w:tcW w:w="7933" w:type="dxa"/>
          </w:tcPr>
          <w:p w14:paraId="512932CA" w14:textId="77777777" w:rsidR="00370C92" w:rsidRDefault="00370C92" w:rsidP="00442860">
            <w:pPr>
              <w:pStyle w:val="mtrachead3"/>
              <w:keepNext w:val="0"/>
              <w:tabs>
                <w:tab w:val="right" w:pos="360"/>
                <w:tab w:val="left" w:pos="540"/>
              </w:tabs>
              <w:spacing w:after="120"/>
              <w:jc w:val="both"/>
              <w:rPr>
                <w:rFonts w:ascii="Arial" w:hAnsi="Arial" w:cs="Arial"/>
                <w:b w:val="0"/>
                <w:sz w:val="18"/>
              </w:rPr>
            </w:pPr>
          </w:p>
          <w:p w14:paraId="4FC7AC12" w14:textId="4795995C" w:rsidR="00233112" w:rsidRPr="006D31FE" w:rsidRDefault="00233112" w:rsidP="00442860">
            <w:pPr>
              <w:pStyle w:val="mtrachead3"/>
              <w:keepNext w:val="0"/>
              <w:tabs>
                <w:tab w:val="right" w:pos="360"/>
                <w:tab w:val="left" w:pos="540"/>
              </w:tabs>
              <w:spacing w:after="120"/>
              <w:jc w:val="both"/>
              <w:rPr>
                <w:rFonts w:ascii="Arial" w:hAnsi="Arial" w:cs="Arial"/>
                <w:b w:val="0"/>
                <w:sz w:val="18"/>
              </w:rPr>
            </w:pPr>
          </w:p>
        </w:tc>
      </w:tr>
    </w:tbl>
    <w:p w14:paraId="6A047F63" w14:textId="7292654A" w:rsidR="006328C9" w:rsidRPr="00EF24C9" w:rsidRDefault="006328C9" w:rsidP="00212F16">
      <w:pPr>
        <w:rPr>
          <w:sz w:val="18"/>
        </w:rPr>
      </w:pPr>
    </w:p>
    <w:p w14:paraId="77217D1F" w14:textId="77777777" w:rsidR="00C54E1D" w:rsidRPr="009C0A1C" w:rsidRDefault="00C54E1D" w:rsidP="00C54E1D">
      <w:pPr>
        <w:jc w:val="both"/>
        <w:rPr>
          <w:rFonts w:ascii="Arial" w:hAnsi="Arial" w:cs="Arial"/>
          <w:b/>
        </w:rPr>
      </w:pPr>
      <w:r w:rsidRPr="009C0A1C">
        <w:rPr>
          <w:rFonts w:ascii="Arial" w:hAnsi="Arial" w:cs="Arial"/>
          <w:b/>
        </w:rPr>
        <w:t>Therapeutic Use</w:t>
      </w:r>
    </w:p>
    <w:p w14:paraId="5ACA04A6" w14:textId="77777777" w:rsidR="00C54E1D" w:rsidRPr="009C0A1C" w:rsidRDefault="00C54E1D" w:rsidP="00C54E1D">
      <w:pPr>
        <w:spacing w:after="120"/>
        <w:jc w:val="both"/>
        <w:rPr>
          <w:rFonts w:ascii="Arial" w:hAnsi="Arial" w:cs="Arial"/>
        </w:rPr>
      </w:pPr>
      <w:r w:rsidRPr="009C0A1C">
        <w:rPr>
          <w:rFonts w:ascii="Arial" w:hAnsi="Arial" w:cs="Arial"/>
        </w:rPr>
        <w:t>Refer to the MTRAC Commissioning Support guidance on denosumab.</w:t>
      </w:r>
    </w:p>
    <w:p w14:paraId="13212DD9" w14:textId="77777777" w:rsidR="00C54E1D" w:rsidRPr="009C0A1C" w:rsidRDefault="00C54E1D" w:rsidP="00C54E1D">
      <w:pPr>
        <w:jc w:val="both"/>
        <w:rPr>
          <w:rFonts w:ascii="Arial" w:hAnsi="Arial" w:cs="Arial"/>
          <w:b/>
        </w:rPr>
      </w:pPr>
      <w:r w:rsidRPr="009C0A1C">
        <w:rPr>
          <w:rFonts w:ascii="Arial" w:hAnsi="Arial" w:cs="Arial"/>
          <w:b/>
        </w:rPr>
        <w:t>Side Effects</w:t>
      </w:r>
    </w:p>
    <w:p w14:paraId="7AE893A1" w14:textId="56554518" w:rsidR="00C54E1D" w:rsidRPr="009C0A1C" w:rsidRDefault="00C54E1D" w:rsidP="00C54E1D">
      <w:pPr>
        <w:jc w:val="both"/>
        <w:rPr>
          <w:rFonts w:ascii="Arial" w:hAnsi="Arial" w:cs="Arial"/>
        </w:rPr>
      </w:pPr>
      <w:r w:rsidRPr="009C0A1C">
        <w:rPr>
          <w:rFonts w:ascii="Arial" w:hAnsi="Arial" w:cs="Arial"/>
        </w:rPr>
        <w:t xml:space="preserve">Infections of the urinary tract and upper respiratory tract </w:t>
      </w:r>
      <w:proofErr w:type="gramStart"/>
      <w:r w:rsidRPr="009C0A1C">
        <w:rPr>
          <w:rFonts w:ascii="Arial" w:hAnsi="Arial" w:cs="Arial"/>
        </w:rPr>
        <w:t>are listed</w:t>
      </w:r>
      <w:proofErr w:type="gramEnd"/>
      <w:r w:rsidRPr="009C0A1C">
        <w:rPr>
          <w:rFonts w:ascii="Arial" w:hAnsi="Arial" w:cs="Arial"/>
        </w:rPr>
        <w:t xml:space="preserve"> as common in the SPC; along with sciatica, cataracts, constipation, rash, and pain in the extremities.  For adverse effects other than those described under contraindications, please see the SPC.</w:t>
      </w:r>
      <w:r w:rsidR="00EB05D9" w:rsidRPr="009C0A1C">
        <w:rPr>
          <w:rFonts w:ascii="Arial" w:hAnsi="Arial" w:cs="Arial"/>
        </w:rPr>
        <w:fldChar w:fldCharType="begin"/>
      </w:r>
      <w:r w:rsidR="00370C92">
        <w:rPr>
          <w:rFonts w:ascii="Arial" w:hAnsi="Arial" w:cs="Arial"/>
        </w:rPr>
        <w:instrText xml:space="preserve"> ADDIN EN.CITE &lt;EndNote&gt;&lt;Cite&gt;&lt;Author&gt;Amgen&lt;/Author&gt;&lt;Year&gt;2019&lt;/Year&gt;&lt;RecNum&gt;2074&lt;/RecNum&gt;&lt;DisplayText&gt;&lt;style face="superscript"&gt;2&lt;/style&gt;&lt;/DisplayText&gt;&lt;record&gt;&lt;rec-number&gt;2074&lt;/rec-number&gt;&lt;foreign-keys&gt;&lt;key app="EN" db-id="s020fexp7w92toed99rxszsn2sttrwrazpat" timestamp="1557412342" guid="2455f5b0-ea61-4843-aefa-62468bda3139"&gt;2074&lt;/key&gt;&lt;/foreign-keys&gt;&lt;ref-type name="Web Page"&gt;12&lt;/ref-type&gt;&lt;contributors&gt;&lt;authors&gt;&lt;author&gt;Amgen&lt;/author&gt;&lt;/authors&gt;&lt;/contributors&gt;&lt;titles&gt;&lt;title&gt;Prolia&lt;/title&gt;&lt;secondary-title&gt;Summary of Product Characteristics&lt;/secondary-title&gt;&lt;/titles&gt;&lt;reprint-edition&gt;Not in File&lt;/reprint-edition&gt;&lt;dates&gt;&lt;year&gt;2019&lt;/year&gt;&lt;/dates&gt;&lt;label&gt;36&lt;/label&gt;&lt;urls&gt;&lt;related-urls&gt;&lt;url&gt;&lt;style face="underline" font="default" size="100%"&gt;http://www.medicines.org.uk/emc/medicine/23127/SPC/Prolia/&lt;/style&gt;&lt;/url&gt;&lt;/related-urls&gt;&lt;/urls&gt;&lt;/record&gt;&lt;/Cite&gt;&lt;/EndNote&gt;</w:instrText>
      </w:r>
      <w:r w:rsidR="00EB05D9" w:rsidRPr="009C0A1C">
        <w:rPr>
          <w:rFonts w:ascii="Arial" w:hAnsi="Arial" w:cs="Arial"/>
        </w:rPr>
        <w:fldChar w:fldCharType="separate"/>
      </w:r>
      <w:r w:rsidR="00370C92" w:rsidRPr="00370C92">
        <w:rPr>
          <w:rFonts w:ascii="Arial" w:hAnsi="Arial" w:cs="Arial"/>
          <w:noProof/>
          <w:vertAlign w:val="superscript"/>
        </w:rPr>
        <w:t>2</w:t>
      </w:r>
      <w:r w:rsidR="00EB05D9" w:rsidRPr="009C0A1C">
        <w:rPr>
          <w:rFonts w:ascii="Arial" w:hAnsi="Arial" w:cs="Arial"/>
        </w:rPr>
        <w:fldChar w:fldCharType="end"/>
      </w:r>
    </w:p>
    <w:p w14:paraId="4774715D" w14:textId="77777777" w:rsidR="00C54E1D" w:rsidRPr="009C0A1C" w:rsidRDefault="00C54E1D" w:rsidP="00C54E1D">
      <w:pPr>
        <w:spacing w:after="120"/>
        <w:jc w:val="both"/>
        <w:rPr>
          <w:rFonts w:ascii="Arial" w:hAnsi="Arial" w:cs="Arial"/>
          <w:i/>
        </w:rPr>
      </w:pPr>
      <w:r w:rsidRPr="009C0A1C">
        <w:rPr>
          <w:rFonts w:ascii="Arial" w:hAnsi="Arial" w:cs="Arial"/>
          <w:i/>
        </w:rPr>
        <w:t xml:space="preserve">Denosumab </w:t>
      </w:r>
      <w:proofErr w:type="gramStart"/>
      <w:r w:rsidRPr="009C0A1C">
        <w:rPr>
          <w:rFonts w:ascii="Arial" w:hAnsi="Arial" w:cs="Arial"/>
          <w:i/>
        </w:rPr>
        <w:t>was launched</w:t>
      </w:r>
      <w:proofErr w:type="gramEnd"/>
      <w:r w:rsidRPr="009C0A1C">
        <w:rPr>
          <w:rFonts w:ascii="Arial" w:hAnsi="Arial" w:cs="Arial"/>
          <w:i/>
        </w:rPr>
        <w:t xml:space="preserve"> in 2010 and no longer has black triangle </w:t>
      </w:r>
      <w:r w:rsidRPr="009C0A1C">
        <w:rPr>
          <w:rFonts w:ascii="Arial" w:hAnsi="Arial" w:cs="Arial"/>
        </w:rPr>
        <w:t>(▼)</w:t>
      </w:r>
      <w:r w:rsidRPr="009C0A1C">
        <w:rPr>
          <w:rFonts w:ascii="Arial" w:hAnsi="Arial" w:cs="Arial"/>
          <w:i/>
        </w:rPr>
        <w:t xml:space="preserve"> status.  Serious suspected reactions (even if well recognised or causal link uncertain) should be reported to the MHRA</w:t>
      </w:r>
      <w:proofErr w:type="gramStart"/>
      <w:r w:rsidRPr="009C0A1C">
        <w:rPr>
          <w:rFonts w:ascii="Arial" w:hAnsi="Arial" w:cs="Arial"/>
          <w:i/>
        </w:rPr>
        <w:t>..</w:t>
      </w:r>
      <w:proofErr w:type="gramEnd"/>
    </w:p>
    <w:p w14:paraId="65C31DDA" w14:textId="27CDE5C1" w:rsidR="006328C9" w:rsidRPr="00370C92" w:rsidRDefault="00D4249D" w:rsidP="00C54E1D">
      <w:pPr>
        <w:jc w:val="both"/>
        <w:rPr>
          <w:rFonts w:ascii="Arial" w:hAnsi="Arial" w:cs="Arial"/>
          <w:b/>
        </w:rPr>
      </w:pPr>
      <w:r w:rsidRPr="00370C92">
        <w:rPr>
          <w:rFonts w:ascii="Arial" w:hAnsi="Arial" w:cs="Arial"/>
          <w:b/>
        </w:rPr>
        <w:t>References</w:t>
      </w:r>
    </w:p>
    <w:p w14:paraId="483E9685" w14:textId="1517A61D" w:rsidR="00233112" w:rsidRPr="00233112" w:rsidRDefault="00C54E1D" w:rsidP="00233112">
      <w:pPr>
        <w:pStyle w:val="EndNoteBibliography"/>
        <w:ind w:left="260" w:hanging="260"/>
      </w:pPr>
      <w:r w:rsidRPr="009C0A1C">
        <w:rPr>
          <w:sz w:val="16"/>
        </w:rPr>
        <w:fldChar w:fldCharType="begin"/>
      </w:r>
      <w:r w:rsidRPr="009C0A1C">
        <w:rPr>
          <w:sz w:val="16"/>
        </w:rPr>
        <w:instrText xml:space="preserve"> ADDIN EN.REFLIST </w:instrText>
      </w:r>
      <w:r w:rsidRPr="009C0A1C">
        <w:rPr>
          <w:sz w:val="16"/>
        </w:rPr>
        <w:fldChar w:fldCharType="separate"/>
      </w:r>
      <w:r w:rsidR="00233112" w:rsidRPr="00233112">
        <w:t xml:space="preserve">1. Hope S, Copus H, MKassim J. Using Denosumab in Primary Care 2014. </w:t>
      </w:r>
      <w:hyperlink r:id="rId8" w:history="1">
        <w:r w:rsidR="00233112" w:rsidRPr="00233112">
          <w:rPr>
            <w:rStyle w:val="Hyperlink"/>
          </w:rPr>
          <w:t>https://www.ouh.nhs.uk/osteoporosis/documents/InitiatingDenosumabinprimarycare.pdf</w:t>
        </w:r>
      </w:hyperlink>
      <w:r w:rsidR="00233112" w:rsidRPr="00233112">
        <w:t>.</w:t>
      </w:r>
    </w:p>
    <w:p w14:paraId="2B67DFE3" w14:textId="5153E639" w:rsidR="00233112" w:rsidRPr="00233112" w:rsidRDefault="00233112" w:rsidP="00233112">
      <w:pPr>
        <w:pStyle w:val="EndNoteBibliography"/>
        <w:ind w:left="260" w:hanging="260"/>
      </w:pPr>
      <w:r w:rsidRPr="00233112">
        <w:t xml:space="preserve">2. Amgen. Prolia 2019. </w:t>
      </w:r>
      <w:hyperlink r:id="rId9" w:history="1">
        <w:r w:rsidRPr="00233112">
          <w:rPr>
            <w:rStyle w:val="Hyperlink"/>
          </w:rPr>
          <w:t>http://www.medicines.org.uk/emc/medicine/23127/SPC/Prolia/</w:t>
        </w:r>
      </w:hyperlink>
      <w:r w:rsidRPr="00233112">
        <w:t>.</w:t>
      </w:r>
    </w:p>
    <w:p w14:paraId="69ADE240" w14:textId="27A802D5" w:rsidR="00233112" w:rsidRPr="00233112" w:rsidRDefault="00233112" w:rsidP="00233112">
      <w:pPr>
        <w:pStyle w:val="EndNoteBibliography"/>
        <w:ind w:left="260" w:hanging="260"/>
      </w:pPr>
      <w:r w:rsidRPr="00233112">
        <w:t xml:space="preserve">3. MHRA. Denosumab (Xgeva▼, Prolia); intravenous bisphosphonates: osteonecrosis of the jaw—further measures to minimise risk 2015. </w:t>
      </w:r>
      <w:hyperlink r:id="rId10" w:history="1">
        <w:r w:rsidRPr="00233112">
          <w:rPr>
            <w:rStyle w:val="Hyperlink"/>
          </w:rPr>
          <w:t>https://www.gov.uk/drug-safety-update/denosumab-xgeva-prolia-intravenous-bisphosphonates-osteonecrosis-of-the-jaw-further-measures-to-minimise-risk</w:t>
        </w:r>
      </w:hyperlink>
      <w:r w:rsidRPr="00233112">
        <w:t>.</w:t>
      </w:r>
    </w:p>
    <w:p w14:paraId="41857EB0" w14:textId="45524646" w:rsidR="00233112" w:rsidRPr="00233112" w:rsidRDefault="00233112" w:rsidP="00233112">
      <w:pPr>
        <w:pStyle w:val="EndNoteBibliography"/>
        <w:ind w:left="260" w:hanging="260"/>
      </w:pPr>
      <w:r w:rsidRPr="00233112">
        <w:t xml:space="preserve">4. MHRA. Denosumab 60 mg (Prolia): rare cases of atypical femoral fracture with long-term use 2013. </w:t>
      </w:r>
      <w:hyperlink r:id="rId11" w:history="1">
        <w:r w:rsidRPr="00233112">
          <w:rPr>
            <w:rStyle w:val="Hyperlink"/>
          </w:rPr>
          <w:t>https://www.gov.uk/drug-safety-update/denosumab-60-mg-prolia</w:t>
        </w:r>
      </w:hyperlink>
      <w:r w:rsidRPr="00233112">
        <w:t>.</w:t>
      </w:r>
    </w:p>
    <w:p w14:paraId="0605842B" w14:textId="0EAB8223" w:rsidR="00233112" w:rsidRPr="00233112" w:rsidRDefault="00233112" w:rsidP="00233112">
      <w:pPr>
        <w:pStyle w:val="EndNoteBibliography"/>
        <w:ind w:left="260" w:hanging="260"/>
      </w:pPr>
      <w:r w:rsidRPr="00233112">
        <w:t xml:space="preserve">5. MHRA. Denosumab: fatal cases of severe symptomatic hypocalcaemia, and risk of hypocalcaemia at any time during treatment - monitoring recommended 2012. </w:t>
      </w:r>
      <w:hyperlink r:id="rId12" w:history="1">
        <w:r w:rsidRPr="00233112">
          <w:rPr>
            <w:rStyle w:val="Hyperlink"/>
          </w:rPr>
          <w:t>https://www.gov.uk/drug-safety-update/denosumab-monitoring-recommended</w:t>
        </w:r>
      </w:hyperlink>
      <w:r w:rsidRPr="00233112">
        <w:t>.</w:t>
      </w:r>
    </w:p>
    <w:p w14:paraId="5D6D7EAF" w14:textId="6A61747A" w:rsidR="00233112" w:rsidRPr="00233112" w:rsidRDefault="00233112" w:rsidP="00233112">
      <w:pPr>
        <w:pStyle w:val="EndNoteBibliography"/>
        <w:ind w:left="260" w:hanging="260"/>
      </w:pPr>
      <w:r w:rsidRPr="00233112">
        <w:t xml:space="preserve">6. Tsourdi E, Langdahl B, Cohen-Solal M, et al. Discontinuation of Denosumab therapy for osteoporosis: A systematic review and position statement by ECTS. </w:t>
      </w:r>
      <w:r w:rsidRPr="00233112">
        <w:rPr>
          <w:i/>
        </w:rPr>
        <w:t>Bone</w:t>
      </w:r>
      <w:r w:rsidRPr="00233112">
        <w:t xml:space="preserve"> 2017;105:11-17. doi: </w:t>
      </w:r>
      <w:hyperlink r:id="rId13" w:history="1">
        <w:r w:rsidRPr="00233112">
          <w:rPr>
            <w:rStyle w:val="Hyperlink"/>
          </w:rPr>
          <w:t>https://doi.org/10.1016/j.bone.2017.08.003</w:t>
        </w:r>
      </w:hyperlink>
    </w:p>
    <w:p w14:paraId="7991587E" w14:textId="40DBA9AD" w:rsidR="00233112" w:rsidRPr="00233112" w:rsidRDefault="00233112" w:rsidP="00233112">
      <w:pPr>
        <w:pStyle w:val="EndNoteBibliography"/>
        <w:ind w:left="260" w:hanging="260"/>
      </w:pPr>
      <w:r w:rsidRPr="00233112">
        <w:t xml:space="preserve">7. NOGG 2017: Clinical guideline for the prevention and treatment of osteoporosis. </w:t>
      </w:r>
      <w:hyperlink r:id="rId14" w:history="1">
        <w:r w:rsidRPr="00233112">
          <w:rPr>
            <w:rStyle w:val="Hyperlink"/>
          </w:rPr>
          <w:t>https://www.sheffield.ac.uk/NOGG/NOGG%20Guideline%202017.pdf</w:t>
        </w:r>
      </w:hyperlink>
      <w:r w:rsidRPr="00233112">
        <w:t>.</w:t>
      </w:r>
    </w:p>
    <w:p w14:paraId="20F3D5C3" w14:textId="542F0ADB" w:rsidR="00D4249D" w:rsidRPr="00EF24C9" w:rsidRDefault="00C54E1D" w:rsidP="00D4249D">
      <w:pPr>
        <w:ind w:left="-32"/>
        <w:jc w:val="both"/>
        <w:rPr>
          <w:rFonts w:ascii="Arial" w:hAnsi="Arial" w:cs="Arial"/>
          <w:sz w:val="2"/>
        </w:rPr>
      </w:pPr>
      <w:r w:rsidRPr="009C0A1C">
        <w:rPr>
          <w:rFonts w:ascii="Arial" w:hAnsi="Arial" w:cs="Arial"/>
          <w:sz w:val="16"/>
        </w:rPr>
        <w:fldChar w:fldCharType="end"/>
      </w:r>
    </w:p>
    <w:sectPr w:rsidR="00D4249D" w:rsidRPr="00EF24C9" w:rsidSect="00B77271">
      <w:headerReference w:type="default" r:id="rId15"/>
      <w:footerReference w:type="default" r:id="rId16"/>
      <w:type w:val="continuous"/>
      <w:pgSz w:w="11907" w:h="16840" w:code="9"/>
      <w:pgMar w:top="907" w:right="1134" w:bottom="306"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D51D0" w14:textId="77777777" w:rsidR="008849C3" w:rsidRDefault="008849C3">
      <w:r>
        <w:separator/>
      </w:r>
    </w:p>
  </w:endnote>
  <w:endnote w:type="continuationSeparator" w:id="0">
    <w:p w14:paraId="79140C74" w14:textId="77777777" w:rsidR="008849C3" w:rsidRDefault="008849C3">
      <w:r>
        <w:continuationSeparator/>
      </w:r>
    </w:p>
  </w:endnote>
  <w:endnote w:type="continuationNotice" w:id="1">
    <w:p w14:paraId="4794324D" w14:textId="77777777" w:rsidR="008849C3" w:rsidRDefault="00884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Light">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7106" w14:textId="401FAB5E" w:rsidR="00A9329C" w:rsidRPr="008A4886" w:rsidRDefault="00A9329C" w:rsidP="008A4886">
    <w:pPr>
      <w:pStyle w:val="mtrachead6"/>
      <w:spacing w:after="40"/>
      <w:jc w:val="center"/>
      <w:rPr>
        <w:rFonts w:ascii="Arial" w:hAnsi="Arial"/>
        <w:snapToGrid/>
        <w:spacing w:val="0"/>
        <w:sz w:val="15"/>
      </w:rPr>
    </w:pPr>
    <w:r>
      <w:rPr>
        <w:rFonts w:ascii="Arial" w:hAnsi="Arial"/>
        <w:snapToGrid/>
        <w:spacing w:val="0"/>
        <w:sz w:val="15"/>
      </w:rPr>
      <w:t xml:space="preserve">This </w:t>
    </w:r>
    <w:proofErr w:type="spellStart"/>
    <w:r w:rsidR="009C0A1C">
      <w:rPr>
        <w:rFonts w:ascii="Arial" w:hAnsi="Arial"/>
        <w:snapToGrid/>
        <w:spacing w:val="0"/>
        <w:sz w:val="15"/>
      </w:rPr>
      <w:t>RiCaD</w:t>
    </w:r>
    <w:proofErr w:type="spellEnd"/>
    <w:r>
      <w:rPr>
        <w:rFonts w:ascii="Arial" w:hAnsi="Arial"/>
        <w:snapToGrid/>
        <w:spacing w:val="0"/>
        <w:sz w:val="15"/>
      </w:rPr>
      <w:t xml:space="preserve"> should be read in conjunction with the Summary of Product Characteristics (SPC) and the </w:t>
    </w:r>
    <w:r>
      <w:rPr>
        <w:rFonts w:ascii="Arial" w:hAnsi="Arial"/>
        <w:sz w:val="15"/>
      </w:rPr>
      <w:t>Midland</w:t>
    </w:r>
    <w:r w:rsidR="007722AA">
      <w:rPr>
        <w:rFonts w:ascii="Arial" w:hAnsi="Arial"/>
        <w:sz w:val="15"/>
      </w:rPr>
      <w:t>s</w:t>
    </w:r>
    <w:r>
      <w:rPr>
        <w:rFonts w:ascii="Arial" w:hAnsi="Arial"/>
        <w:sz w:val="15"/>
      </w:rPr>
      <w:t xml:space="preserve"> Therapeutic</w:t>
    </w:r>
    <w:r w:rsidR="007722AA">
      <w:rPr>
        <w:rFonts w:ascii="Arial" w:hAnsi="Arial"/>
        <w:sz w:val="15"/>
      </w:rPr>
      <w:t>s</w:t>
    </w:r>
    <w:r>
      <w:rPr>
        <w:rFonts w:ascii="Arial" w:hAnsi="Arial"/>
        <w:sz w:val="15"/>
      </w:rPr>
      <w:t xml:space="preserve"> Review and Advisory Committee (</w:t>
    </w:r>
    <w:r>
      <w:rPr>
        <w:rFonts w:ascii="Arial" w:hAnsi="Arial"/>
        <w:snapToGrid/>
        <w:spacing w:val="0"/>
        <w:sz w:val="15"/>
      </w:rPr>
      <w:t xml:space="preserve">MTRAC) </w:t>
    </w:r>
    <w:r w:rsidR="00372D94">
      <w:rPr>
        <w:rFonts w:ascii="Arial" w:hAnsi="Arial"/>
        <w:snapToGrid/>
        <w:spacing w:val="0"/>
        <w:sz w:val="15"/>
      </w:rPr>
      <w:t>guidance sheet</w:t>
    </w:r>
  </w:p>
  <w:p w14:paraId="5547C740" w14:textId="5FA57879" w:rsidR="00A9329C" w:rsidRDefault="00A9329C">
    <w:pPr>
      <w:jc w:val="center"/>
      <w:rPr>
        <w:rFonts w:ascii="Arial" w:hAnsi="Arial"/>
        <w:sz w:val="15"/>
      </w:rPr>
    </w:pPr>
    <w:r>
      <w:rPr>
        <w:rFonts w:ascii="Arial" w:hAnsi="Arial"/>
        <w:sz w:val="15"/>
      </w:rPr>
      <w:t xml:space="preserve">Template </w:t>
    </w:r>
    <w:r w:rsidR="00BA465A">
      <w:rPr>
        <w:rFonts w:ascii="Arial" w:hAnsi="Arial"/>
        <w:sz w:val="15"/>
      </w:rPr>
      <w:t xml:space="preserve">produced by MTRAC; </w:t>
    </w:r>
    <w:r w:rsidR="00682292">
      <w:rPr>
        <w:rFonts w:ascii="Arial" w:hAnsi="Arial"/>
        <w:sz w:val="15"/>
      </w:rPr>
      <w:t>based</w:t>
    </w:r>
    <w:r w:rsidR="009C0A1C">
      <w:rPr>
        <w:rFonts w:ascii="Arial" w:hAnsi="Arial"/>
        <w:sz w:val="15"/>
      </w:rPr>
      <w:t xml:space="preserve"> on</w:t>
    </w:r>
    <w:r w:rsidR="00BA465A">
      <w:rPr>
        <w:rFonts w:ascii="Arial" w:hAnsi="Arial"/>
        <w:sz w:val="15"/>
      </w:rPr>
      <w:t xml:space="preserve"> local </w:t>
    </w:r>
    <w:proofErr w:type="spellStart"/>
    <w:r w:rsidR="009C0A1C">
      <w:rPr>
        <w:rFonts w:ascii="Arial" w:hAnsi="Arial"/>
        <w:sz w:val="15"/>
      </w:rPr>
      <w:t>RiCaD</w:t>
    </w:r>
    <w:proofErr w:type="spellEnd"/>
    <w:r w:rsidR="009C0A1C">
      <w:rPr>
        <w:rFonts w:ascii="Arial" w:hAnsi="Arial"/>
        <w:sz w:val="15"/>
      </w:rPr>
      <w:t xml:space="preserve"> produced by Birmingham, Sandwell, Solihull and environs Area Prescribing 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AB496" w14:textId="77777777" w:rsidR="008849C3" w:rsidRDefault="008849C3">
      <w:r>
        <w:separator/>
      </w:r>
    </w:p>
  </w:footnote>
  <w:footnote w:type="continuationSeparator" w:id="0">
    <w:p w14:paraId="57943F03" w14:textId="77777777" w:rsidR="008849C3" w:rsidRDefault="008849C3">
      <w:r>
        <w:continuationSeparator/>
      </w:r>
    </w:p>
  </w:footnote>
  <w:footnote w:type="continuationNotice" w:id="1">
    <w:p w14:paraId="1F946ADE" w14:textId="77777777" w:rsidR="008849C3" w:rsidRDefault="008849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1F7FD" w14:textId="372C82F3" w:rsidR="00A9329C" w:rsidRDefault="00A9329C">
    <w:pPr>
      <w:pStyle w:val="Header"/>
      <w:jc w:val="center"/>
      <w:rPr>
        <w:rFonts w:ascii="Arial" w:hAnsi="Arial"/>
      </w:rPr>
    </w:pPr>
    <w:r>
      <w:rPr>
        <w:rFonts w:ascii="Arial" w:hAnsi="Arial"/>
      </w:rPr>
      <w:t xml:space="preserve">TEMPLATE </w:t>
    </w:r>
    <w:r w:rsidR="00C87077">
      <w:rPr>
        <w:rFonts w:ascii="Arial" w:hAnsi="Arial"/>
      </w:rPr>
      <w:t>Rationale for Initiation, Continuation and Discontinuation</w:t>
    </w:r>
    <w:r>
      <w:rPr>
        <w:rFonts w:ascii="Arial" w:hAnsi="Arial"/>
      </w:rPr>
      <w:t xml:space="preserve"> (</w:t>
    </w:r>
    <w:proofErr w:type="spellStart"/>
    <w:r w:rsidR="00C87077">
      <w:rPr>
        <w:rFonts w:ascii="Arial" w:hAnsi="Arial"/>
      </w:rPr>
      <w:t>RICaD</w:t>
    </w:r>
    <w:proofErr w:type="spellEnd"/>
    <w:r>
      <w:rPr>
        <w:rFonts w:ascii="Arial" w:hAnsi="Arial"/>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9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A07D0"/>
    <w:multiLevelType w:val="singleLevel"/>
    <w:tmpl w:val="62420584"/>
    <w:lvl w:ilvl="0">
      <w:start w:val="1"/>
      <w:numFmt w:val="decimal"/>
      <w:lvlText w:val="%1."/>
      <w:lvlJc w:val="left"/>
      <w:pPr>
        <w:tabs>
          <w:tab w:val="num" w:pos="360"/>
        </w:tabs>
        <w:ind w:left="360" w:hanging="360"/>
      </w:pPr>
    </w:lvl>
  </w:abstractNum>
  <w:abstractNum w:abstractNumId="2" w15:restartNumberingAfterBreak="0">
    <w:nsid w:val="094953B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B114123"/>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C23423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9A7457"/>
    <w:multiLevelType w:val="singleLevel"/>
    <w:tmpl w:val="20DE4446"/>
    <w:lvl w:ilvl="0">
      <w:start w:val="1"/>
      <w:numFmt w:val="decimal"/>
      <w:lvlText w:val="%1"/>
      <w:lvlJc w:val="left"/>
      <w:pPr>
        <w:tabs>
          <w:tab w:val="num" w:pos="360"/>
        </w:tabs>
        <w:ind w:left="340" w:hanging="340"/>
      </w:pPr>
      <w:rPr>
        <w:b w:val="0"/>
        <w:i w:val="0"/>
      </w:rPr>
    </w:lvl>
  </w:abstractNum>
  <w:abstractNum w:abstractNumId="6" w15:restartNumberingAfterBreak="0">
    <w:nsid w:val="0FFA26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06707B"/>
    <w:multiLevelType w:val="singleLevel"/>
    <w:tmpl w:val="C3ECB4E6"/>
    <w:lvl w:ilvl="0">
      <w:start w:val="1"/>
      <w:numFmt w:val="decimal"/>
      <w:lvlText w:val="(%1)"/>
      <w:lvlJc w:val="left"/>
      <w:pPr>
        <w:tabs>
          <w:tab w:val="num" w:pos="432"/>
        </w:tabs>
        <w:ind w:left="432" w:hanging="432"/>
      </w:pPr>
      <w:rPr>
        <w:rFonts w:hint="default"/>
      </w:rPr>
    </w:lvl>
  </w:abstractNum>
  <w:abstractNum w:abstractNumId="8" w15:restartNumberingAfterBreak="0">
    <w:nsid w:val="11580463"/>
    <w:multiLevelType w:val="hybridMultilevel"/>
    <w:tmpl w:val="09FC5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71349"/>
    <w:multiLevelType w:val="singleLevel"/>
    <w:tmpl w:val="FD288BEA"/>
    <w:lvl w:ilvl="0">
      <w:start w:val="1"/>
      <w:numFmt w:val="decimal"/>
      <w:lvlText w:val="(%1)"/>
      <w:lvlJc w:val="left"/>
      <w:pPr>
        <w:tabs>
          <w:tab w:val="num" w:pos="360"/>
        </w:tabs>
        <w:ind w:left="360" w:hanging="360"/>
      </w:pPr>
      <w:rPr>
        <w:rFonts w:hint="default"/>
      </w:rPr>
    </w:lvl>
  </w:abstractNum>
  <w:abstractNum w:abstractNumId="10" w15:restartNumberingAfterBreak="0">
    <w:nsid w:val="248B1AF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6B82ACC"/>
    <w:multiLevelType w:val="hybridMultilevel"/>
    <w:tmpl w:val="22CC2F62"/>
    <w:lvl w:ilvl="0" w:tplc="35AC8748">
      <w:start w:val="1"/>
      <w:numFmt w:val="decimal"/>
      <w:lvlText w:val="%1."/>
      <w:lvlJc w:val="lef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F47E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97726C"/>
    <w:multiLevelType w:val="hybridMultilevel"/>
    <w:tmpl w:val="6CB49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D6FA3"/>
    <w:multiLevelType w:val="singleLevel"/>
    <w:tmpl w:val="DE32BDFE"/>
    <w:lvl w:ilvl="0">
      <w:start w:val="1"/>
      <w:numFmt w:val="decimal"/>
      <w:lvlText w:val="%1"/>
      <w:lvlJc w:val="left"/>
      <w:pPr>
        <w:tabs>
          <w:tab w:val="num" w:pos="360"/>
        </w:tabs>
        <w:ind w:left="340" w:hanging="340"/>
      </w:pPr>
      <w:rPr>
        <w:b w:val="0"/>
        <w:i w:val="0"/>
      </w:rPr>
    </w:lvl>
  </w:abstractNum>
  <w:abstractNum w:abstractNumId="15" w15:restartNumberingAfterBreak="0">
    <w:nsid w:val="30E627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605C6A"/>
    <w:multiLevelType w:val="hybridMultilevel"/>
    <w:tmpl w:val="0E5AF8AE"/>
    <w:lvl w:ilvl="0" w:tplc="20B8BA8A">
      <w:start w:val="1"/>
      <w:numFmt w:val="bullet"/>
      <w:lvlText w:val=""/>
      <w:lvlJc w:val="left"/>
      <w:pPr>
        <w:tabs>
          <w:tab w:val="num" w:pos="720"/>
        </w:tabs>
        <w:ind w:left="720" w:hanging="360"/>
      </w:pPr>
      <w:rPr>
        <w:rFonts w:ascii="Symbol" w:hAnsi="Symbol" w:hint="default"/>
      </w:rPr>
    </w:lvl>
    <w:lvl w:ilvl="1" w:tplc="F3AE163E" w:tentative="1">
      <w:start w:val="1"/>
      <w:numFmt w:val="bullet"/>
      <w:lvlText w:val="o"/>
      <w:lvlJc w:val="left"/>
      <w:pPr>
        <w:tabs>
          <w:tab w:val="num" w:pos="1440"/>
        </w:tabs>
        <w:ind w:left="1440" w:hanging="360"/>
      </w:pPr>
      <w:rPr>
        <w:rFonts w:ascii="Courier New" w:hAnsi="Courier New" w:cs="Courier New" w:hint="default"/>
      </w:rPr>
    </w:lvl>
    <w:lvl w:ilvl="2" w:tplc="8B884364" w:tentative="1">
      <w:start w:val="1"/>
      <w:numFmt w:val="bullet"/>
      <w:lvlText w:val=""/>
      <w:lvlJc w:val="left"/>
      <w:pPr>
        <w:tabs>
          <w:tab w:val="num" w:pos="2160"/>
        </w:tabs>
        <w:ind w:left="2160" w:hanging="360"/>
      </w:pPr>
      <w:rPr>
        <w:rFonts w:ascii="Wingdings" w:hAnsi="Wingdings" w:hint="default"/>
      </w:rPr>
    </w:lvl>
    <w:lvl w:ilvl="3" w:tplc="C3A41A4A" w:tentative="1">
      <w:start w:val="1"/>
      <w:numFmt w:val="bullet"/>
      <w:lvlText w:val=""/>
      <w:lvlJc w:val="left"/>
      <w:pPr>
        <w:tabs>
          <w:tab w:val="num" w:pos="2880"/>
        </w:tabs>
        <w:ind w:left="2880" w:hanging="360"/>
      </w:pPr>
      <w:rPr>
        <w:rFonts w:ascii="Symbol" w:hAnsi="Symbol" w:hint="default"/>
      </w:rPr>
    </w:lvl>
    <w:lvl w:ilvl="4" w:tplc="F7726FF8" w:tentative="1">
      <w:start w:val="1"/>
      <w:numFmt w:val="bullet"/>
      <w:lvlText w:val="o"/>
      <w:lvlJc w:val="left"/>
      <w:pPr>
        <w:tabs>
          <w:tab w:val="num" w:pos="3600"/>
        </w:tabs>
        <w:ind w:left="3600" w:hanging="360"/>
      </w:pPr>
      <w:rPr>
        <w:rFonts w:ascii="Courier New" w:hAnsi="Courier New" w:cs="Courier New" w:hint="default"/>
      </w:rPr>
    </w:lvl>
    <w:lvl w:ilvl="5" w:tplc="D77061C6" w:tentative="1">
      <w:start w:val="1"/>
      <w:numFmt w:val="bullet"/>
      <w:lvlText w:val=""/>
      <w:lvlJc w:val="left"/>
      <w:pPr>
        <w:tabs>
          <w:tab w:val="num" w:pos="4320"/>
        </w:tabs>
        <w:ind w:left="4320" w:hanging="360"/>
      </w:pPr>
      <w:rPr>
        <w:rFonts w:ascii="Wingdings" w:hAnsi="Wingdings" w:hint="default"/>
      </w:rPr>
    </w:lvl>
    <w:lvl w:ilvl="6" w:tplc="4D284AC8" w:tentative="1">
      <w:start w:val="1"/>
      <w:numFmt w:val="bullet"/>
      <w:lvlText w:val=""/>
      <w:lvlJc w:val="left"/>
      <w:pPr>
        <w:tabs>
          <w:tab w:val="num" w:pos="5040"/>
        </w:tabs>
        <w:ind w:left="5040" w:hanging="360"/>
      </w:pPr>
      <w:rPr>
        <w:rFonts w:ascii="Symbol" w:hAnsi="Symbol" w:hint="default"/>
      </w:rPr>
    </w:lvl>
    <w:lvl w:ilvl="7" w:tplc="44FCCA5E" w:tentative="1">
      <w:start w:val="1"/>
      <w:numFmt w:val="bullet"/>
      <w:lvlText w:val="o"/>
      <w:lvlJc w:val="left"/>
      <w:pPr>
        <w:tabs>
          <w:tab w:val="num" w:pos="5760"/>
        </w:tabs>
        <w:ind w:left="5760" w:hanging="360"/>
      </w:pPr>
      <w:rPr>
        <w:rFonts w:ascii="Courier New" w:hAnsi="Courier New" w:cs="Courier New" w:hint="default"/>
      </w:rPr>
    </w:lvl>
    <w:lvl w:ilvl="8" w:tplc="1C927C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270069"/>
    <w:multiLevelType w:val="hybridMultilevel"/>
    <w:tmpl w:val="9B06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6442F"/>
    <w:multiLevelType w:val="hybridMultilevel"/>
    <w:tmpl w:val="E12CE3D8"/>
    <w:lvl w:ilvl="0" w:tplc="281E6D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C3E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9E7A67"/>
    <w:multiLevelType w:val="singleLevel"/>
    <w:tmpl w:val="5DF047E4"/>
    <w:lvl w:ilvl="0">
      <w:start w:val="14"/>
      <w:numFmt w:val="decimal"/>
      <w:lvlText w:val="%1."/>
      <w:lvlJc w:val="left"/>
      <w:pPr>
        <w:tabs>
          <w:tab w:val="num" w:pos="540"/>
        </w:tabs>
        <w:ind w:left="540" w:hanging="456"/>
      </w:pPr>
      <w:rPr>
        <w:rFonts w:hint="default"/>
      </w:rPr>
    </w:lvl>
  </w:abstractNum>
  <w:abstractNum w:abstractNumId="21" w15:restartNumberingAfterBreak="0">
    <w:nsid w:val="3BFB5ED7"/>
    <w:multiLevelType w:val="singleLevel"/>
    <w:tmpl w:val="1C5090A4"/>
    <w:lvl w:ilvl="0">
      <w:numFmt w:val="bullet"/>
      <w:lvlText w:val="-"/>
      <w:lvlJc w:val="left"/>
      <w:pPr>
        <w:tabs>
          <w:tab w:val="num" w:pos="360"/>
        </w:tabs>
        <w:ind w:left="340" w:hanging="340"/>
      </w:pPr>
      <w:rPr>
        <w:rFonts w:hint="default"/>
      </w:rPr>
    </w:lvl>
  </w:abstractNum>
  <w:abstractNum w:abstractNumId="22" w15:restartNumberingAfterBreak="0">
    <w:nsid w:val="426139F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34A2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F220A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9A11F6"/>
    <w:multiLevelType w:val="singleLevel"/>
    <w:tmpl w:val="9D7C4A7C"/>
    <w:lvl w:ilvl="0">
      <w:start w:val="1"/>
      <w:numFmt w:val="decimal"/>
      <w:lvlText w:val="%1."/>
      <w:lvlJc w:val="left"/>
      <w:pPr>
        <w:tabs>
          <w:tab w:val="num" w:pos="552"/>
        </w:tabs>
        <w:ind w:left="552" w:hanging="360"/>
      </w:pPr>
      <w:rPr>
        <w:rFonts w:hint="default"/>
      </w:rPr>
    </w:lvl>
  </w:abstractNum>
  <w:abstractNum w:abstractNumId="26" w15:restartNumberingAfterBreak="0">
    <w:nsid w:val="5579538E"/>
    <w:multiLevelType w:val="singleLevel"/>
    <w:tmpl w:val="5DF047E4"/>
    <w:lvl w:ilvl="0">
      <w:start w:val="16"/>
      <w:numFmt w:val="decimal"/>
      <w:lvlText w:val="%1."/>
      <w:lvlJc w:val="left"/>
      <w:pPr>
        <w:tabs>
          <w:tab w:val="num" w:pos="540"/>
        </w:tabs>
        <w:ind w:left="540" w:hanging="456"/>
      </w:pPr>
      <w:rPr>
        <w:rFonts w:hint="default"/>
      </w:rPr>
    </w:lvl>
  </w:abstractNum>
  <w:abstractNum w:abstractNumId="27" w15:restartNumberingAfterBreak="0">
    <w:nsid w:val="568B6C2F"/>
    <w:multiLevelType w:val="singleLevel"/>
    <w:tmpl w:val="20DE4446"/>
    <w:lvl w:ilvl="0">
      <w:start w:val="1"/>
      <w:numFmt w:val="decimal"/>
      <w:lvlText w:val="%1"/>
      <w:lvlJc w:val="left"/>
      <w:pPr>
        <w:tabs>
          <w:tab w:val="num" w:pos="360"/>
        </w:tabs>
        <w:ind w:left="340" w:hanging="340"/>
      </w:pPr>
      <w:rPr>
        <w:b w:val="0"/>
        <w:i w:val="0"/>
      </w:rPr>
    </w:lvl>
  </w:abstractNum>
  <w:abstractNum w:abstractNumId="28" w15:restartNumberingAfterBreak="0">
    <w:nsid w:val="5B7C62A8"/>
    <w:multiLevelType w:val="hybridMultilevel"/>
    <w:tmpl w:val="A3B01F8E"/>
    <w:lvl w:ilvl="0" w:tplc="281E6D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C63761"/>
    <w:multiLevelType w:val="singleLevel"/>
    <w:tmpl w:val="62420584"/>
    <w:lvl w:ilvl="0">
      <w:start w:val="10"/>
      <w:numFmt w:val="decimal"/>
      <w:lvlText w:val="%1."/>
      <w:lvlJc w:val="left"/>
      <w:pPr>
        <w:tabs>
          <w:tab w:val="num" w:pos="360"/>
        </w:tabs>
        <w:ind w:left="360" w:hanging="360"/>
      </w:pPr>
      <w:rPr>
        <w:rFonts w:hint="default"/>
      </w:rPr>
    </w:lvl>
  </w:abstractNum>
  <w:abstractNum w:abstractNumId="30" w15:restartNumberingAfterBreak="0">
    <w:nsid w:val="71BB6F1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3513F0B"/>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7548171D"/>
    <w:multiLevelType w:val="hybridMultilevel"/>
    <w:tmpl w:val="CD467E96"/>
    <w:lvl w:ilvl="0" w:tplc="7A72E300">
      <w:start w:val="1"/>
      <w:numFmt w:val="bullet"/>
      <w:lvlText w:val=""/>
      <w:lvlJc w:val="left"/>
      <w:pPr>
        <w:tabs>
          <w:tab w:val="num" w:pos="720"/>
        </w:tabs>
        <w:ind w:left="720" w:hanging="360"/>
      </w:pPr>
      <w:rPr>
        <w:rFonts w:ascii="Symbol" w:hAnsi="Symbol" w:hint="default"/>
      </w:rPr>
    </w:lvl>
    <w:lvl w:ilvl="1" w:tplc="3C54E65E" w:tentative="1">
      <w:start w:val="1"/>
      <w:numFmt w:val="bullet"/>
      <w:lvlText w:val="o"/>
      <w:lvlJc w:val="left"/>
      <w:pPr>
        <w:tabs>
          <w:tab w:val="num" w:pos="1440"/>
        </w:tabs>
        <w:ind w:left="1440" w:hanging="360"/>
      </w:pPr>
      <w:rPr>
        <w:rFonts w:ascii="Courier New" w:hAnsi="Courier New" w:cs="Courier New" w:hint="default"/>
      </w:rPr>
    </w:lvl>
    <w:lvl w:ilvl="2" w:tplc="2282622A" w:tentative="1">
      <w:start w:val="1"/>
      <w:numFmt w:val="bullet"/>
      <w:lvlText w:val=""/>
      <w:lvlJc w:val="left"/>
      <w:pPr>
        <w:tabs>
          <w:tab w:val="num" w:pos="2160"/>
        </w:tabs>
        <w:ind w:left="2160" w:hanging="360"/>
      </w:pPr>
      <w:rPr>
        <w:rFonts w:ascii="Wingdings" w:hAnsi="Wingdings" w:hint="default"/>
      </w:rPr>
    </w:lvl>
    <w:lvl w:ilvl="3" w:tplc="590460FE" w:tentative="1">
      <w:start w:val="1"/>
      <w:numFmt w:val="bullet"/>
      <w:lvlText w:val=""/>
      <w:lvlJc w:val="left"/>
      <w:pPr>
        <w:tabs>
          <w:tab w:val="num" w:pos="2880"/>
        </w:tabs>
        <w:ind w:left="2880" w:hanging="360"/>
      </w:pPr>
      <w:rPr>
        <w:rFonts w:ascii="Symbol" w:hAnsi="Symbol" w:hint="default"/>
      </w:rPr>
    </w:lvl>
    <w:lvl w:ilvl="4" w:tplc="8BE2CF00" w:tentative="1">
      <w:start w:val="1"/>
      <w:numFmt w:val="bullet"/>
      <w:lvlText w:val="o"/>
      <w:lvlJc w:val="left"/>
      <w:pPr>
        <w:tabs>
          <w:tab w:val="num" w:pos="3600"/>
        </w:tabs>
        <w:ind w:left="3600" w:hanging="360"/>
      </w:pPr>
      <w:rPr>
        <w:rFonts w:ascii="Courier New" w:hAnsi="Courier New" w:cs="Courier New" w:hint="default"/>
      </w:rPr>
    </w:lvl>
    <w:lvl w:ilvl="5" w:tplc="F2123392" w:tentative="1">
      <w:start w:val="1"/>
      <w:numFmt w:val="bullet"/>
      <w:lvlText w:val=""/>
      <w:lvlJc w:val="left"/>
      <w:pPr>
        <w:tabs>
          <w:tab w:val="num" w:pos="4320"/>
        </w:tabs>
        <w:ind w:left="4320" w:hanging="360"/>
      </w:pPr>
      <w:rPr>
        <w:rFonts w:ascii="Wingdings" w:hAnsi="Wingdings" w:hint="default"/>
      </w:rPr>
    </w:lvl>
    <w:lvl w:ilvl="6" w:tplc="BD6460A0" w:tentative="1">
      <w:start w:val="1"/>
      <w:numFmt w:val="bullet"/>
      <w:lvlText w:val=""/>
      <w:lvlJc w:val="left"/>
      <w:pPr>
        <w:tabs>
          <w:tab w:val="num" w:pos="5040"/>
        </w:tabs>
        <w:ind w:left="5040" w:hanging="360"/>
      </w:pPr>
      <w:rPr>
        <w:rFonts w:ascii="Symbol" w:hAnsi="Symbol" w:hint="default"/>
      </w:rPr>
    </w:lvl>
    <w:lvl w:ilvl="7" w:tplc="2DC8C756" w:tentative="1">
      <w:start w:val="1"/>
      <w:numFmt w:val="bullet"/>
      <w:lvlText w:val="o"/>
      <w:lvlJc w:val="left"/>
      <w:pPr>
        <w:tabs>
          <w:tab w:val="num" w:pos="5760"/>
        </w:tabs>
        <w:ind w:left="5760" w:hanging="360"/>
      </w:pPr>
      <w:rPr>
        <w:rFonts w:ascii="Courier New" w:hAnsi="Courier New" w:cs="Courier New" w:hint="default"/>
      </w:rPr>
    </w:lvl>
    <w:lvl w:ilvl="8" w:tplc="C3A40F7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520A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5965E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5C42A0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9841A59"/>
    <w:multiLevelType w:val="hybridMultilevel"/>
    <w:tmpl w:val="E2D0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2440B4"/>
    <w:multiLevelType w:val="singleLevel"/>
    <w:tmpl w:val="5D9C7FFE"/>
    <w:lvl w:ilvl="0">
      <w:start w:val="1"/>
      <w:numFmt w:val="bullet"/>
      <w:lvlText w:val=""/>
      <w:lvlJc w:val="left"/>
      <w:pPr>
        <w:tabs>
          <w:tab w:val="num" w:pos="360"/>
        </w:tabs>
        <w:ind w:left="340" w:hanging="340"/>
      </w:pPr>
      <w:rPr>
        <w:rFonts w:ascii="Symbol" w:hAnsi="Symbol" w:hint="default"/>
      </w:rPr>
    </w:lvl>
  </w:abstractNum>
  <w:abstractNum w:abstractNumId="38" w15:restartNumberingAfterBreak="0">
    <w:nsid w:val="7E183CBB"/>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19"/>
  </w:num>
  <w:num w:numId="3">
    <w:abstractNumId w:val="1"/>
  </w:num>
  <w:num w:numId="4">
    <w:abstractNumId w:val="31"/>
  </w:num>
  <w:num w:numId="5">
    <w:abstractNumId w:val="25"/>
  </w:num>
  <w:num w:numId="6">
    <w:abstractNumId w:val="29"/>
  </w:num>
  <w:num w:numId="7">
    <w:abstractNumId w:val="26"/>
  </w:num>
  <w:num w:numId="8">
    <w:abstractNumId w:val="20"/>
  </w:num>
  <w:num w:numId="9">
    <w:abstractNumId w:val="10"/>
  </w:num>
  <w:num w:numId="10">
    <w:abstractNumId w:val="35"/>
  </w:num>
  <w:num w:numId="11">
    <w:abstractNumId w:val="30"/>
  </w:num>
  <w:num w:numId="12">
    <w:abstractNumId w:val="38"/>
  </w:num>
  <w:num w:numId="13">
    <w:abstractNumId w:val="4"/>
  </w:num>
  <w:num w:numId="14">
    <w:abstractNumId w:val="22"/>
  </w:num>
  <w:num w:numId="15">
    <w:abstractNumId w:val="2"/>
  </w:num>
  <w:num w:numId="16">
    <w:abstractNumId w:val="37"/>
  </w:num>
  <w:num w:numId="17">
    <w:abstractNumId w:val="9"/>
  </w:num>
  <w:num w:numId="18">
    <w:abstractNumId w:val="7"/>
  </w:num>
  <w:num w:numId="19">
    <w:abstractNumId w:val="21"/>
  </w:num>
  <w:num w:numId="20">
    <w:abstractNumId w:val="34"/>
  </w:num>
  <w:num w:numId="21">
    <w:abstractNumId w:val="0"/>
  </w:num>
  <w:num w:numId="22">
    <w:abstractNumId w:val="14"/>
  </w:num>
  <w:num w:numId="23">
    <w:abstractNumId w:val="27"/>
  </w:num>
  <w:num w:numId="24">
    <w:abstractNumId w:val="5"/>
  </w:num>
  <w:num w:numId="25">
    <w:abstractNumId w:val="24"/>
  </w:num>
  <w:num w:numId="26">
    <w:abstractNumId w:val="12"/>
  </w:num>
  <w:num w:numId="27">
    <w:abstractNumId w:val="33"/>
  </w:num>
  <w:num w:numId="28">
    <w:abstractNumId w:val="3"/>
  </w:num>
  <w:num w:numId="29">
    <w:abstractNumId w:val="23"/>
  </w:num>
  <w:num w:numId="30">
    <w:abstractNumId w:val="16"/>
  </w:num>
  <w:num w:numId="31">
    <w:abstractNumId w:val="32"/>
  </w:num>
  <w:num w:numId="32">
    <w:abstractNumId w:val="15"/>
  </w:num>
  <w:num w:numId="33">
    <w:abstractNumId w:val="11"/>
  </w:num>
  <w:num w:numId="34">
    <w:abstractNumId w:val="8"/>
  </w:num>
  <w:num w:numId="35">
    <w:abstractNumId w:val="17"/>
  </w:num>
  <w:num w:numId="36">
    <w:abstractNumId w:val="36"/>
  </w:num>
  <w:num w:numId="37">
    <w:abstractNumId w:val="28"/>
  </w:num>
  <w:num w:numId="38">
    <w:abstractNumId w:val="1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Arial&lt;/FontName&gt;&lt;FontSize&gt;9&lt;/FontSize&gt;&lt;ReflistTitle&gt;&lt;/ReflistTitle&gt;&lt;StartingRefnum&gt;1&lt;/StartingRefnum&gt;&lt;FirstLineIndent&gt;0&lt;/FirstLineIndent&gt;&lt;HangingIndent&gt;26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20fexp7w92toed99rxszsn2sttrwrazpat&quot;&gt;Reference library&lt;record-ids&gt;&lt;item&gt;2070&lt;/item&gt;&lt;item&gt;2074&lt;/item&gt;&lt;item&gt;2097&lt;/item&gt;&lt;item&gt;2098&lt;/item&gt;&lt;item&gt;2099&lt;/item&gt;&lt;item&gt;2643&lt;/item&gt;&lt;item&gt;2695&lt;/item&gt;&lt;/record-ids&gt;&lt;/item&gt;&lt;/Libraries&gt;"/>
  </w:docVars>
  <w:rsids>
    <w:rsidRoot w:val="00940509"/>
    <w:rsid w:val="00040F56"/>
    <w:rsid w:val="00082AF5"/>
    <w:rsid w:val="000856EB"/>
    <w:rsid w:val="000970BB"/>
    <w:rsid w:val="0009748E"/>
    <w:rsid w:val="000C1FAE"/>
    <w:rsid w:val="000F1E2D"/>
    <w:rsid w:val="001056F7"/>
    <w:rsid w:val="00153E19"/>
    <w:rsid w:val="0018462B"/>
    <w:rsid w:val="001E3933"/>
    <w:rsid w:val="001F6CB1"/>
    <w:rsid w:val="00212F16"/>
    <w:rsid w:val="00233112"/>
    <w:rsid w:val="00256A1B"/>
    <w:rsid w:val="00282573"/>
    <w:rsid w:val="0029008C"/>
    <w:rsid w:val="002D4B5E"/>
    <w:rsid w:val="00300950"/>
    <w:rsid w:val="003057F1"/>
    <w:rsid w:val="00370C92"/>
    <w:rsid w:val="00372D94"/>
    <w:rsid w:val="003C03C5"/>
    <w:rsid w:val="003E0C48"/>
    <w:rsid w:val="0046276F"/>
    <w:rsid w:val="00470202"/>
    <w:rsid w:val="004A2678"/>
    <w:rsid w:val="004B1407"/>
    <w:rsid w:val="004B498F"/>
    <w:rsid w:val="004F7E13"/>
    <w:rsid w:val="005275E4"/>
    <w:rsid w:val="00537068"/>
    <w:rsid w:val="0054397A"/>
    <w:rsid w:val="00564E8F"/>
    <w:rsid w:val="005741B4"/>
    <w:rsid w:val="005819FA"/>
    <w:rsid w:val="005B1DFA"/>
    <w:rsid w:val="005D129F"/>
    <w:rsid w:val="00612F76"/>
    <w:rsid w:val="006328C9"/>
    <w:rsid w:val="00682292"/>
    <w:rsid w:val="006961D2"/>
    <w:rsid w:val="0069637F"/>
    <w:rsid w:val="006A2D0C"/>
    <w:rsid w:val="006D31FE"/>
    <w:rsid w:val="006F662B"/>
    <w:rsid w:val="00706F2A"/>
    <w:rsid w:val="00724516"/>
    <w:rsid w:val="00740AAB"/>
    <w:rsid w:val="007722AA"/>
    <w:rsid w:val="00780CC4"/>
    <w:rsid w:val="007E52B6"/>
    <w:rsid w:val="007F6F5D"/>
    <w:rsid w:val="00835F95"/>
    <w:rsid w:val="008849C3"/>
    <w:rsid w:val="008A4886"/>
    <w:rsid w:val="008F5DC2"/>
    <w:rsid w:val="00940509"/>
    <w:rsid w:val="009810B8"/>
    <w:rsid w:val="00983C38"/>
    <w:rsid w:val="009C0A1C"/>
    <w:rsid w:val="009D24DB"/>
    <w:rsid w:val="009F7332"/>
    <w:rsid w:val="00A46544"/>
    <w:rsid w:val="00A5125F"/>
    <w:rsid w:val="00A56232"/>
    <w:rsid w:val="00A9329C"/>
    <w:rsid w:val="00AD6B66"/>
    <w:rsid w:val="00AF18AB"/>
    <w:rsid w:val="00B639AE"/>
    <w:rsid w:val="00B7459F"/>
    <w:rsid w:val="00B77271"/>
    <w:rsid w:val="00B939D7"/>
    <w:rsid w:val="00BA465A"/>
    <w:rsid w:val="00BA6026"/>
    <w:rsid w:val="00BB0E94"/>
    <w:rsid w:val="00BE7E14"/>
    <w:rsid w:val="00C16DD8"/>
    <w:rsid w:val="00C37E82"/>
    <w:rsid w:val="00C43CE1"/>
    <w:rsid w:val="00C50571"/>
    <w:rsid w:val="00C519FE"/>
    <w:rsid w:val="00C54E1D"/>
    <w:rsid w:val="00C87077"/>
    <w:rsid w:val="00C9776E"/>
    <w:rsid w:val="00CD6959"/>
    <w:rsid w:val="00D0456F"/>
    <w:rsid w:val="00D4249D"/>
    <w:rsid w:val="00D56E44"/>
    <w:rsid w:val="00D72C4E"/>
    <w:rsid w:val="00D72DA7"/>
    <w:rsid w:val="00DD5E3F"/>
    <w:rsid w:val="00DD6795"/>
    <w:rsid w:val="00E3369D"/>
    <w:rsid w:val="00E6316D"/>
    <w:rsid w:val="00E925C6"/>
    <w:rsid w:val="00EA18C8"/>
    <w:rsid w:val="00EB05D9"/>
    <w:rsid w:val="00EB2420"/>
    <w:rsid w:val="00EF24C9"/>
    <w:rsid w:val="00EF4DD4"/>
    <w:rsid w:val="00F643C8"/>
    <w:rsid w:val="00F65AC9"/>
    <w:rsid w:val="00F805A6"/>
    <w:rsid w:val="00FB3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FA621"/>
  <w15:docId w15:val="{03A8A6CD-1134-49F7-BD4F-38055CBB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Light" w:hAnsi="HelvLight"/>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after="120"/>
      <w:jc w:val="both"/>
      <w:outlineLvl w:val="3"/>
    </w:pPr>
    <w:rPr>
      <w:i/>
    </w:rPr>
  </w:style>
  <w:style w:type="paragraph" w:styleId="Heading5">
    <w:name w:val="heading 5"/>
    <w:basedOn w:val="Normal"/>
    <w:next w:val="Normal"/>
    <w:qFormat/>
    <w:pPr>
      <w:keepNext/>
      <w:spacing w:after="120"/>
      <w:jc w:val="both"/>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rachead1">
    <w:name w:val="mtrac head 1"/>
    <w:basedOn w:val="Heading1"/>
    <w:pPr>
      <w:spacing w:before="0" w:after="0"/>
      <w:jc w:val="both"/>
    </w:pPr>
    <w:rPr>
      <w:snapToGrid w:val="0"/>
      <w:kern w:val="0"/>
      <w:sz w:val="24"/>
      <w:u w:val="single"/>
      <w:lang w:eastAsia="en-US"/>
    </w:rPr>
  </w:style>
  <w:style w:type="paragraph" w:customStyle="1" w:styleId="mtrachead2">
    <w:name w:val="mtrac head 2"/>
    <w:basedOn w:val="Heading2"/>
    <w:pPr>
      <w:numPr>
        <w:ilvl w:val="12"/>
      </w:numPr>
      <w:spacing w:before="0" w:after="0"/>
      <w:jc w:val="both"/>
    </w:pPr>
    <w:rPr>
      <w:i w:val="0"/>
      <w:snapToGrid w:val="0"/>
      <w:lang w:eastAsia="en-US"/>
    </w:rPr>
  </w:style>
  <w:style w:type="paragraph" w:customStyle="1" w:styleId="mtrachead3">
    <w:name w:val="mtrac head 3"/>
    <w:basedOn w:val="Heading3"/>
    <w:pPr>
      <w:spacing w:before="0" w:after="0"/>
    </w:pPr>
    <w:rPr>
      <w:b/>
      <w:snapToGrid w:val="0"/>
      <w:sz w:val="20"/>
      <w:lang w:eastAsia="en-US"/>
    </w:rPr>
  </w:style>
  <w:style w:type="paragraph" w:customStyle="1" w:styleId="mtrachead4">
    <w:name w:val="mtrac head 4"/>
    <w:basedOn w:val="Footer"/>
    <w:pPr>
      <w:tabs>
        <w:tab w:val="clear" w:pos="4153"/>
        <w:tab w:val="clear" w:pos="8306"/>
      </w:tabs>
      <w:jc w:val="both"/>
    </w:pPr>
    <w:rPr>
      <w:b/>
      <w:i/>
      <w:snapToGrid w:val="0"/>
      <w:lang w:eastAsia="en-US"/>
    </w:rPr>
  </w:style>
  <w:style w:type="paragraph" w:styleId="Footer">
    <w:name w:val="footer"/>
    <w:basedOn w:val="Normal"/>
    <w:link w:val="FooterChar"/>
    <w:semiHidden/>
    <w:pPr>
      <w:tabs>
        <w:tab w:val="center" w:pos="4153"/>
        <w:tab w:val="right" w:pos="8306"/>
      </w:tabs>
    </w:pPr>
  </w:style>
  <w:style w:type="paragraph" w:customStyle="1" w:styleId="mtrachead5">
    <w:name w:val="mtrac head 5"/>
    <w:basedOn w:val="Footer"/>
    <w:link w:val="mtrachead5Char"/>
    <w:pPr>
      <w:numPr>
        <w:ilvl w:val="12"/>
      </w:numPr>
      <w:tabs>
        <w:tab w:val="clear" w:pos="4153"/>
        <w:tab w:val="clear" w:pos="8306"/>
      </w:tabs>
      <w:jc w:val="both"/>
    </w:pPr>
    <w:rPr>
      <w:snapToGrid w:val="0"/>
      <w:lang w:eastAsia="en-US"/>
    </w:rPr>
  </w:style>
  <w:style w:type="paragraph" w:customStyle="1" w:styleId="mtrachead6">
    <w:name w:val="mtrac head 6"/>
    <w:basedOn w:val="Normal"/>
    <w:rPr>
      <w:i/>
      <w:snapToGrid w:val="0"/>
      <w:spacing w:val="-3"/>
      <w:lang w:eastAsia="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semiHidden/>
    <w:pPr>
      <w:jc w:val="both"/>
    </w:pPr>
  </w:style>
  <w:style w:type="paragraph" w:styleId="Header">
    <w:name w:val="header"/>
    <w:basedOn w:val="Normal"/>
    <w:semiHidden/>
    <w:pPr>
      <w:tabs>
        <w:tab w:val="center" w:pos="4153"/>
        <w:tab w:val="right" w:pos="8306"/>
      </w:tabs>
    </w:pPr>
  </w:style>
  <w:style w:type="paragraph" w:styleId="BodyText">
    <w:name w:val="Body Text"/>
    <w:basedOn w:val="Normal"/>
    <w:semiHidden/>
    <w:pPr>
      <w:jc w:val="both"/>
    </w:pPr>
    <w:rPr>
      <w:i/>
    </w:rPr>
  </w:style>
  <w:style w:type="paragraph" w:styleId="BodyText3">
    <w:name w:val="Body Text 3"/>
    <w:basedOn w:val="Normal"/>
    <w:semiHidden/>
    <w:pPr>
      <w:tabs>
        <w:tab w:val="left" w:pos="-720"/>
        <w:tab w:val="right" w:pos="8505"/>
      </w:tabs>
      <w:suppressAutoHyphens/>
      <w:spacing w:after="120"/>
      <w:ind w:right="29"/>
      <w:jc w:val="both"/>
    </w:pPr>
    <w:rPr>
      <w:rFonts w:ascii="Helvetica" w:hAnsi="Helvetica"/>
    </w:rPr>
  </w:style>
  <w:style w:type="paragraph" w:styleId="BalloonText">
    <w:name w:val="Balloon Text"/>
    <w:basedOn w:val="Normal"/>
    <w:semiHidden/>
    <w:rPr>
      <w:rFonts w:ascii="Tahoma" w:hAnsi="Tahoma" w:cs="Wingdings"/>
      <w:sz w:val="16"/>
      <w:szCs w:val="16"/>
    </w:rPr>
  </w:style>
  <w:style w:type="character" w:styleId="Hyperlink">
    <w:name w:val="Hyperlink"/>
    <w:uiPriority w:val="99"/>
    <w:unhideWhenUsed/>
    <w:rsid w:val="00FB303B"/>
    <w:rPr>
      <w:color w:val="0000FF"/>
      <w:u w:val="single"/>
    </w:rPr>
  </w:style>
  <w:style w:type="paragraph" w:styleId="ListParagraph">
    <w:name w:val="List Paragraph"/>
    <w:basedOn w:val="Normal"/>
    <w:uiPriority w:val="34"/>
    <w:qFormat/>
    <w:rsid w:val="00FB303B"/>
    <w:pPr>
      <w:ind w:left="720"/>
      <w:contextualSpacing/>
    </w:pPr>
  </w:style>
  <w:style w:type="character" w:styleId="FollowedHyperlink">
    <w:name w:val="FollowedHyperlink"/>
    <w:basedOn w:val="DefaultParagraphFont"/>
    <w:uiPriority w:val="99"/>
    <w:semiHidden/>
    <w:unhideWhenUsed/>
    <w:rsid w:val="00B77271"/>
    <w:rPr>
      <w:color w:val="800080" w:themeColor="followedHyperlink"/>
      <w:u w:val="single"/>
    </w:rPr>
  </w:style>
  <w:style w:type="table" w:styleId="TableGrid">
    <w:name w:val="Table Grid"/>
    <w:basedOn w:val="TableNormal"/>
    <w:uiPriority w:val="59"/>
    <w:rsid w:val="006D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F18AB"/>
    <w:pPr>
      <w:jc w:val="center"/>
    </w:pPr>
    <w:rPr>
      <w:rFonts w:ascii="Arial" w:hAnsi="Arial" w:cs="Arial"/>
      <w:noProof/>
      <w:sz w:val="18"/>
    </w:rPr>
  </w:style>
  <w:style w:type="character" w:customStyle="1" w:styleId="FooterChar">
    <w:name w:val="Footer Char"/>
    <w:basedOn w:val="DefaultParagraphFont"/>
    <w:link w:val="Footer"/>
    <w:semiHidden/>
    <w:rsid w:val="00AF18AB"/>
    <w:rPr>
      <w:rFonts w:ascii="HelvLight" w:hAnsi="HelvLight"/>
    </w:rPr>
  </w:style>
  <w:style w:type="character" w:customStyle="1" w:styleId="mtrachead5Char">
    <w:name w:val="mtrac head 5 Char"/>
    <w:basedOn w:val="FooterChar"/>
    <w:link w:val="mtrachead5"/>
    <w:rsid w:val="00AF18AB"/>
    <w:rPr>
      <w:rFonts w:ascii="HelvLight" w:hAnsi="HelvLight"/>
      <w:snapToGrid w:val="0"/>
      <w:lang w:eastAsia="en-US"/>
    </w:rPr>
  </w:style>
  <w:style w:type="character" w:customStyle="1" w:styleId="EndNoteBibliographyTitleChar">
    <w:name w:val="EndNote Bibliography Title Char"/>
    <w:basedOn w:val="mtrachead5Char"/>
    <w:link w:val="EndNoteBibliographyTitle"/>
    <w:rsid w:val="00AF18AB"/>
    <w:rPr>
      <w:rFonts w:ascii="Arial" w:hAnsi="Arial" w:cs="Arial"/>
      <w:noProof/>
      <w:snapToGrid/>
      <w:sz w:val="18"/>
      <w:lang w:eastAsia="en-US"/>
    </w:rPr>
  </w:style>
  <w:style w:type="paragraph" w:customStyle="1" w:styleId="EndNoteBibliography">
    <w:name w:val="EndNote Bibliography"/>
    <w:basedOn w:val="Normal"/>
    <w:link w:val="EndNoteBibliographyChar"/>
    <w:rsid w:val="00AF18AB"/>
    <w:rPr>
      <w:rFonts w:ascii="Arial" w:hAnsi="Arial" w:cs="Arial"/>
      <w:noProof/>
      <w:sz w:val="18"/>
    </w:rPr>
  </w:style>
  <w:style w:type="character" w:customStyle="1" w:styleId="EndNoteBibliographyChar">
    <w:name w:val="EndNote Bibliography Char"/>
    <w:basedOn w:val="mtrachead5Char"/>
    <w:link w:val="EndNoteBibliography"/>
    <w:rsid w:val="00AF18AB"/>
    <w:rPr>
      <w:rFonts w:ascii="Arial" w:hAnsi="Arial" w:cs="Arial"/>
      <w:noProof/>
      <w:snapToGrid/>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8425">
      <w:bodyDiv w:val="1"/>
      <w:marLeft w:val="0"/>
      <w:marRight w:val="0"/>
      <w:marTop w:val="0"/>
      <w:marBottom w:val="0"/>
      <w:divBdr>
        <w:top w:val="none" w:sz="0" w:space="0" w:color="auto"/>
        <w:left w:val="none" w:sz="0" w:space="0" w:color="auto"/>
        <w:bottom w:val="none" w:sz="0" w:space="0" w:color="auto"/>
        <w:right w:val="none" w:sz="0" w:space="0" w:color="auto"/>
      </w:divBdr>
    </w:div>
    <w:div w:id="15197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h.nhs.uk/osteoporosis/documents/InitiatingDenosumabinprimarycare.pdf" TargetMode="External"/><Relationship Id="rId13" Type="http://schemas.openxmlformats.org/officeDocument/2006/relationships/hyperlink" Target="https://doi.org/10.1016/j.bone.2017.08.0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rug-safety-update/denosumab-monitoring-recommend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rug-safety-update/denosumab-60-mg-prol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drug-safety-update/denosumab-xgeva-prolia-intravenous-bisphosphonates-osteonecrosis-of-the-jaw-further-measures-to-minimise-risk" TargetMode="External"/><Relationship Id="rId4" Type="http://schemas.openxmlformats.org/officeDocument/2006/relationships/settings" Target="settings.xml"/><Relationship Id="rId9" Type="http://schemas.openxmlformats.org/officeDocument/2006/relationships/hyperlink" Target="http://www.medicines.org.uk/emc/medicine/23127/SPC/Prolia/" TargetMode="External"/><Relationship Id="rId14" Type="http://schemas.openxmlformats.org/officeDocument/2006/relationships/hyperlink" Target="https://www.sheffield.ac.uk/NOGG/NOGG%20Guideline%20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late%20ESCA%20(oct%2002%20onwar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01CA7-2506-442F-90EA-F621AA52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ESCA (oct 02 onwards)</Template>
  <TotalTime>537</TotalTime>
  <Pages>1</Pages>
  <Words>2768</Words>
  <Characters>15779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TOBRAMYCIN NEBULISER SOLUTION</vt:lpstr>
    </vt:vector>
  </TitlesOfParts>
  <Company>Dept. Medicines Management</Company>
  <LinksUpToDate>false</LinksUpToDate>
  <CharactersWithSpaces>18510</CharactersWithSpaces>
  <SharedDoc>false</SharedDoc>
  <HLinks>
    <vt:vector size="30" baseType="variant">
      <vt:variant>
        <vt:i4>2424865</vt:i4>
      </vt:variant>
      <vt:variant>
        <vt:i4>12</vt:i4>
      </vt:variant>
      <vt:variant>
        <vt:i4>0</vt:i4>
      </vt:variant>
      <vt:variant>
        <vt:i4>5</vt:i4>
      </vt:variant>
      <vt:variant>
        <vt:lpwstr>http://www.mhra.gov.uk/Safetyinformation/DrugSafetyUpdate/CON239411</vt:lpwstr>
      </vt:variant>
      <vt:variant>
        <vt:lpwstr/>
      </vt:variant>
      <vt:variant>
        <vt:i4>2162730</vt:i4>
      </vt:variant>
      <vt:variant>
        <vt:i4>9</vt:i4>
      </vt:variant>
      <vt:variant>
        <vt:i4>0</vt:i4>
      </vt:variant>
      <vt:variant>
        <vt:i4>5</vt:i4>
      </vt:variant>
      <vt:variant>
        <vt:lpwstr>http://www.mhra.gov.uk/Safetyinformation/DrugSafetyUpdate/CON199560</vt:lpwstr>
      </vt:variant>
      <vt:variant>
        <vt:lpwstr/>
      </vt:variant>
      <vt:variant>
        <vt:i4>7274596</vt:i4>
      </vt:variant>
      <vt:variant>
        <vt:i4>6</vt:i4>
      </vt:variant>
      <vt:variant>
        <vt:i4>0</vt:i4>
      </vt:variant>
      <vt:variant>
        <vt:i4>5</vt:i4>
      </vt:variant>
      <vt:variant>
        <vt:lpwstr>http://cks.nice.org.uk/cellulitis-acute</vt:lpwstr>
      </vt:variant>
      <vt:variant>
        <vt:lpwstr/>
      </vt:variant>
      <vt:variant>
        <vt:i4>3211370</vt:i4>
      </vt:variant>
      <vt:variant>
        <vt:i4>3</vt:i4>
      </vt:variant>
      <vt:variant>
        <vt:i4>0</vt:i4>
      </vt:variant>
      <vt:variant>
        <vt:i4>5</vt:i4>
      </vt:variant>
      <vt:variant>
        <vt:lpwstr>http://www.medicines.org.uk/emc/medicine/23127/SPC/Prolia/</vt:lpwstr>
      </vt:variant>
      <vt:variant>
        <vt:lpwstr/>
      </vt:variant>
      <vt:variant>
        <vt:i4>65553</vt:i4>
      </vt:variant>
      <vt:variant>
        <vt:i4>0</vt:i4>
      </vt:variant>
      <vt:variant>
        <vt:i4>0</vt:i4>
      </vt:variant>
      <vt:variant>
        <vt:i4>5</vt:i4>
      </vt:variant>
      <vt:variant>
        <vt:lpwstr>http://publications.nice.org.uk/denosumab-for-the-prevention-of-osteoporotic-fractures-in-postmenopausal-women-ta204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TOBRAMYCIN NEBULISER SOLUTION</dc:title>
  <dc:subject/>
  <dc:creator>Claire Stevens</dc:creator>
  <cp:keywords/>
  <dc:description/>
  <cp:lastModifiedBy>Claire Stevens</cp:lastModifiedBy>
  <cp:revision>9</cp:revision>
  <cp:lastPrinted>2019-11-18T16:39:00Z</cp:lastPrinted>
  <dcterms:created xsi:type="dcterms:W3CDTF">2019-11-15T15:07:00Z</dcterms:created>
  <dcterms:modified xsi:type="dcterms:W3CDTF">2019-12-02T11:43:00Z</dcterms:modified>
</cp:coreProperties>
</file>