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2DEC83" w14:textId="77777777" w:rsidR="00A9329C" w:rsidRPr="00BA6026" w:rsidRDefault="00E925C6">
      <w:pPr>
        <w:ind w:left="2160" w:firstLine="720"/>
        <w:jc w:val="center"/>
        <w:rPr>
          <w:rFonts w:ascii="Arial" w:hAnsi="Arial" w:cs="Arial"/>
          <w:sz w:val="30"/>
        </w:rPr>
      </w:pPr>
      <w:r w:rsidRPr="00BA6026">
        <w:rPr>
          <w:rFonts w:ascii="Arial" w:hAnsi="Arial" w:cs="Arial"/>
          <w:b/>
          <w:sz w:val="40"/>
        </w:rPr>
        <w:t>Denosumab</w:t>
      </w:r>
      <w:r w:rsidR="00A9329C" w:rsidRPr="00BA6026">
        <w:rPr>
          <w:rFonts w:ascii="Arial" w:hAnsi="Arial" w:cs="Arial"/>
          <w:sz w:val="40"/>
        </w:rPr>
        <w:t xml:space="preserve">                 DRAFT</w:t>
      </w:r>
    </w:p>
    <w:p w14:paraId="13E5B58D" w14:textId="0E08C255" w:rsidR="00A9329C" w:rsidRPr="00BA6026" w:rsidRDefault="00A9329C">
      <w:pPr>
        <w:rPr>
          <w:rFonts w:ascii="Arial" w:hAnsi="Arial" w:cs="Arial"/>
          <w:sz w:val="24"/>
          <w:shd w:val="pct5" w:color="auto" w:fill="auto"/>
        </w:rPr>
      </w:pPr>
      <w:r w:rsidRPr="00BA6026">
        <w:rPr>
          <w:rFonts w:ascii="Arial" w:hAnsi="Arial" w:cs="Arial"/>
          <w:sz w:val="24"/>
          <w:shd w:val="pct5" w:color="auto" w:fill="auto"/>
        </w:rPr>
        <w:t xml:space="preserve">ESCA: For the </w:t>
      </w:r>
      <w:r w:rsidR="00E925C6" w:rsidRPr="00BA6026">
        <w:rPr>
          <w:rFonts w:ascii="Arial" w:hAnsi="Arial" w:cs="Arial"/>
          <w:sz w:val="24"/>
          <w:shd w:val="pct5" w:color="auto" w:fill="auto"/>
        </w:rPr>
        <w:t>treatment of osteoporosis</w:t>
      </w:r>
      <w:r w:rsidR="00F805A6">
        <w:rPr>
          <w:rFonts w:ascii="Arial" w:hAnsi="Arial" w:cs="Arial"/>
          <w:sz w:val="24"/>
          <w:shd w:val="pct5" w:color="auto" w:fill="auto"/>
        </w:rPr>
        <w:t xml:space="preserve"> </w:t>
      </w:r>
    </w:p>
    <w:p w14:paraId="6E72AB0D" w14:textId="4A8D4949" w:rsidR="00A9329C" w:rsidRPr="00BA6026" w:rsidRDefault="00612F76">
      <w:pPr>
        <w:rPr>
          <w:rFonts w:ascii="Arial" w:hAnsi="Arial" w:cs="Arial"/>
          <w:sz w:val="12"/>
        </w:rPr>
      </w:pPr>
      <w:r>
        <w:rPr>
          <w:noProof/>
        </w:rPr>
        <mc:AlternateContent>
          <mc:Choice Requires="wps">
            <w:drawing>
              <wp:anchor distT="0" distB="0" distL="114300" distR="114300" simplePos="0" relativeHeight="251657728" behindDoc="0" locked="0" layoutInCell="1" allowOverlap="1" wp14:anchorId="13989564" wp14:editId="13057A2C">
                <wp:simplePos x="0" y="0"/>
                <wp:positionH relativeFrom="margin">
                  <wp:posOffset>11430</wp:posOffset>
                </wp:positionH>
                <wp:positionV relativeFrom="margin">
                  <wp:posOffset>632460</wp:posOffset>
                </wp:positionV>
                <wp:extent cx="2973705" cy="1123315"/>
                <wp:effectExtent l="0" t="0" r="17145" b="2032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23315"/>
                        </a:xfrm>
                        <a:prstGeom prst="rect">
                          <a:avLst/>
                        </a:prstGeom>
                        <a:solidFill>
                          <a:srgbClr val="FFFFFF"/>
                        </a:solidFill>
                        <a:ln w="9525">
                          <a:solidFill>
                            <a:srgbClr val="000000"/>
                          </a:solidFill>
                          <a:miter lim="800000"/>
                          <a:headEnd/>
                          <a:tailEnd/>
                        </a:ln>
                      </wps:spPr>
                      <wps:txbx>
                        <w:txbxContent>
                          <w:p w14:paraId="04291F7F" w14:textId="77777777" w:rsidR="007E52B6" w:rsidRDefault="007E52B6" w:rsidP="00E461F6">
                            <w:pPr>
                              <w:spacing w:after="60"/>
                            </w:pPr>
                            <w:r>
                              <w:t>Specialist details:</w:t>
                            </w:r>
                          </w:p>
                          <w:p w14:paraId="38A9FC71" w14:textId="77777777" w:rsidR="007E52B6" w:rsidRDefault="007E52B6" w:rsidP="00E461F6">
                            <w:pPr>
                              <w:spacing w:after="60"/>
                            </w:pPr>
                            <w:r>
                              <w:t>Name:</w:t>
                            </w:r>
                          </w:p>
                          <w:p w14:paraId="5E706050" w14:textId="77777777" w:rsidR="007E52B6" w:rsidRDefault="007E52B6" w:rsidP="00E461F6">
                            <w:pPr>
                              <w:spacing w:after="60"/>
                            </w:pPr>
                            <w:r>
                              <w:t>Tel:</w:t>
                            </w:r>
                          </w:p>
                          <w:p w14:paraId="6275F22C" w14:textId="77777777" w:rsidR="007E52B6" w:rsidRDefault="006A2D0C" w:rsidP="00E461F6">
                            <w:pPr>
                              <w:spacing w:after="60"/>
                            </w:pPr>
                            <w:r>
                              <w:t xml:space="preserve">Hospital Pharmacy </w:t>
                            </w:r>
                            <w:proofErr w:type="spellStart"/>
                            <w:r>
                              <w:t>Dept</w:t>
                            </w:r>
                            <w:proofErr w:type="spellEnd"/>
                            <w:r>
                              <w:t>:</w:t>
                            </w:r>
                          </w:p>
                          <w:p w14:paraId="61D86410" w14:textId="77777777" w:rsidR="006A2D0C" w:rsidRDefault="006A2D0C" w:rsidP="00E461F6">
                            <w:pPr>
                              <w:spacing w:after="60"/>
                            </w:pPr>
                            <w:r>
                              <w:t>Other: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13989564" id="_x0000_t202" coordsize="21600,21600" o:spt="202" path="m,l,21600r21600,l21600,xe">
                <v:stroke joinstyle="miter"/>
                <v:path gradientshapeok="t" o:connecttype="rect"/>
              </v:shapetype>
              <v:shape id="Text Box 2" o:spid="_x0000_s1026" type="#_x0000_t202" style="position:absolute;margin-left:.9pt;margin-top:49.8pt;width:234.15pt;height:88.45pt;z-index:251657728;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">
                <v:textbox style="mso-fit-shape-to-text:t">
                  <w:txbxContent>
                    <w:p w14:paraId="04291F7F" w14:textId="77777777" w:rsidR="007E52B6" w:rsidRDefault="007E52B6" w:rsidP="00E461F6">
                      <w:pPr>
                        <w:spacing w:after="60"/>
                      </w:pPr>
                      <w:r>
                        <w:t>Specialist details:</w:t>
                      </w:r>
                    </w:p>
                    <w:p w14:paraId="38A9FC71" w14:textId="77777777" w:rsidR="007E52B6" w:rsidRDefault="007E52B6" w:rsidP="00E461F6">
                      <w:pPr>
                        <w:spacing w:after="60"/>
                      </w:pPr>
                      <w:r>
                        <w:t>Name:</w:t>
                      </w:r>
                    </w:p>
                    <w:p w14:paraId="5E706050" w14:textId="77777777" w:rsidR="007E52B6" w:rsidRDefault="007E52B6" w:rsidP="00E461F6">
                      <w:pPr>
                        <w:spacing w:after="60"/>
                      </w:pPr>
                      <w:r>
                        <w:t>Tel:</w:t>
                      </w:r>
                    </w:p>
                    <w:p w14:paraId="6275F22C" w14:textId="77777777" w:rsidR="007E52B6" w:rsidRDefault="006A2D0C" w:rsidP="00E461F6">
                      <w:pPr>
                        <w:spacing w:after="60"/>
                      </w:pPr>
                      <w:r>
                        <w:t xml:space="preserve">Hospital Pharmacy </w:t>
                      </w:r>
                      <w:proofErr w:type="spellStart"/>
                      <w:r>
                        <w:t>Dept</w:t>
                      </w:r>
                      <w:proofErr w:type="spellEnd"/>
                      <w:r>
                        <w:t>:</w:t>
                      </w:r>
                    </w:p>
                    <w:p w14:paraId="61D86410" w14:textId="77777777" w:rsidR="006A2D0C" w:rsidRDefault="006A2D0C" w:rsidP="00E461F6">
                      <w:pPr>
                        <w:spacing w:after="60"/>
                      </w:pPr>
                      <w:r>
                        <w:t>Other:</w:t>
                      </w:r>
                    </w:p>
                  </w:txbxContent>
                </v:textbox>
                <w10:wrap type="square" anchorx="margin" anchory="margin"/>
              </v:shape>
            </w:pict>
          </mc:Fallback>
        </mc:AlternateContent>
      </w:r>
      <w:r>
        <w:rPr>
          <w:rFonts w:ascii="Arial" w:hAnsi="Arial" w:cs="Arial"/>
          <w:noProof/>
        </w:rPr>
        <mc:AlternateContent>
          <mc:Choice Requires="wps">
            <w:drawing>
              <wp:anchor distT="0" distB="0" distL="114300" distR="114300" simplePos="0" relativeHeight="251658752" behindDoc="0" locked="0" layoutInCell="1" allowOverlap="1" wp14:anchorId="0ABBFEB8" wp14:editId="4CE1F1C9">
                <wp:simplePos x="0" y="0"/>
                <wp:positionH relativeFrom="margin">
                  <wp:posOffset>3221355</wp:posOffset>
                </wp:positionH>
                <wp:positionV relativeFrom="margin">
                  <wp:posOffset>632460</wp:posOffset>
                </wp:positionV>
                <wp:extent cx="2973705" cy="1123315"/>
                <wp:effectExtent l="0" t="0" r="17145" b="20320"/>
                <wp:wrapSquare wrapText="bothSides"/>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3705" cy="1123315"/>
                        </a:xfrm>
                        <a:prstGeom prst="rect">
                          <a:avLst/>
                        </a:prstGeom>
                        <a:solidFill>
                          <a:srgbClr val="FFFFFF"/>
                        </a:solidFill>
                        <a:ln w="9525">
                          <a:solidFill>
                            <a:srgbClr val="000000"/>
                          </a:solidFill>
                          <a:miter lim="800000"/>
                          <a:headEnd/>
                          <a:tailEnd/>
                        </a:ln>
                      </wps:spPr>
                      <wps:txbx>
                        <w:txbxContent>
                          <w:p w14:paraId="24BC43C1" w14:textId="77777777" w:rsidR="007E52B6" w:rsidRDefault="007E52B6" w:rsidP="007E52B6">
                            <w:r>
                              <w:t>Patient details:</w:t>
                            </w:r>
                          </w:p>
                          <w:p w14:paraId="657FF730" w14:textId="77777777" w:rsidR="007E52B6" w:rsidRDefault="007E52B6" w:rsidP="007E52B6"/>
                          <w:p w14:paraId="793ACF7D" w14:textId="77777777" w:rsidR="007E52B6" w:rsidRDefault="007E52B6" w:rsidP="007E52B6"/>
                          <w:p w14:paraId="372A863F" w14:textId="77777777" w:rsidR="007E52B6" w:rsidRDefault="007E52B6" w:rsidP="007E52B6"/>
                          <w:p w14:paraId="756CFBCB" w14:textId="77777777" w:rsidR="007E52B6" w:rsidRDefault="007E52B6" w:rsidP="007E52B6"/>
                          <w:p w14:paraId="7104A3F0" w14:textId="77777777" w:rsidR="006A2D0C" w:rsidRDefault="006A2D0C" w:rsidP="007E52B6"/>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0ABBFEB8" id="Text Box 4" o:spid="_x0000_s1027" type="#_x0000_t202" style="position:absolute;margin-left:253.65pt;margin-top:49.8pt;width:234.15pt;height:88.45pt;z-index:251658752;visibility:visible;mso-wrap-style:square;mso-width-percent:0;mso-height-percent:200;mso-wrap-distance-left:9pt;mso-wrap-distance-top:0;mso-wrap-distance-right:9pt;mso-wrap-distance-bottom:0;mso-position-horizontal:absolute;mso-position-horizontal-relative:margin;mso-position-vertical:absolute;mso-position-vertical-relative:margin;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">
                <v:textbox style="mso-fit-shape-to-text:t">
                  <w:txbxContent>
                    <w:p w14:paraId="24BC43C1" w14:textId="77777777" w:rsidR="007E52B6" w:rsidRDefault="007E52B6" w:rsidP="007E52B6">
                      <w:r>
                        <w:t>Patient details:</w:t>
                      </w:r>
                    </w:p>
                    <w:p w14:paraId="657FF730" w14:textId="77777777" w:rsidR="007E52B6" w:rsidRDefault="007E52B6" w:rsidP="007E52B6"/>
                    <w:p w14:paraId="793ACF7D" w14:textId="77777777" w:rsidR="007E52B6" w:rsidRDefault="007E52B6" w:rsidP="007E52B6"/>
                    <w:p w14:paraId="372A863F" w14:textId="77777777" w:rsidR="007E52B6" w:rsidRDefault="007E52B6" w:rsidP="007E52B6"/>
                    <w:p w14:paraId="756CFBCB" w14:textId="77777777" w:rsidR="007E52B6" w:rsidRDefault="007E52B6" w:rsidP="007E52B6"/>
                    <w:p w14:paraId="7104A3F0" w14:textId="77777777" w:rsidR="006A2D0C" w:rsidRDefault="006A2D0C" w:rsidP="007E52B6"/>
                  </w:txbxContent>
                </v:textbox>
                <w10:wrap type="square" anchorx="margin" anchory="margin"/>
              </v:shape>
            </w:pict>
          </mc:Fallback>
        </mc:AlternateContent>
      </w:r>
      <w:r w:rsidR="004B1407">
        <w:rPr>
          <w:rFonts w:ascii="Arial" w:hAnsi="Arial" w:cs="Arial"/>
          <w:noProof/>
          <w:sz w:val="12"/>
        </w:rPr>
        <mc:AlternateContent>
          <mc:Choice Requires="wps">
            <w:drawing>
              <wp:anchor distT="0" distB="0" distL="114300" distR="114300" simplePos="0" relativeHeight="251656704" behindDoc="0" locked="0" layoutInCell="0" allowOverlap="1" wp14:anchorId="434768EA" wp14:editId="5208BA2B">
                <wp:simplePos x="0" y="0"/>
                <wp:positionH relativeFrom="column">
                  <wp:posOffset>11430</wp:posOffset>
                </wp:positionH>
                <wp:positionV relativeFrom="paragraph">
                  <wp:posOffset>52070</wp:posOffset>
                </wp:positionV>
                <wp:extent cx="612648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64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E31CD2"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1pt" to="483.3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H0AEQIAACg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" o:allowincell="f"/>
            </w:pict>
          </mc:Fallback>
        </mc:AlternateContent>
      </w:r>
    </w:p>
    <w:p w14:paraId="401900D7" w14:textId="71F12109" w:rsidR="007E52B6" w:rsidRPr="00612F76" w:rsidRDefault="007E52B6">
      <w:pPr>
        <w:pStyle w:val="mtrachead3"/>
        <w:tabs>
          <w:tab w:val="right" w:pos="360"/>
          <w:tab w:val="left" w:pos="540"/>
        </w:tabs>
        <w:rPr>
          <w:rFonts w:ascii="Arial" w:hAnsi="Arial" w:cs="Arial"/>
          <w:sz w:val="12"/>
        </w:rPr>
      </w:pPr>
    </w:p>
    <w:p w14:paraId="1A422055" w14:textId="77777777" w:rsidR="00A9329C" w:rsidRPr="00BA6026" w:rsidRDefault="00A9329C" w:rsidP="00C16DD8">
      <w:pPr>
        <w:pStyle w:val="mtrachead3"/>
        <w:tabs>
          <w:tab w:val="right" w:pos="360"/>
          <w:tab w:val="left" w:pos="540"/>
        </w:tabs>
        <w:spacing w:after="120"/>
        <w:rPr>
          <w:rFonts w:ascii="Arial" w:hAnsi="Arial" w:cs="Arial"/>
        </w:rPr>
      </w:pPr>
      <w:r w:rsidRPr="00BA6026">
        <w:rPr>
          <w:rFonts w:ascii="Arial" w:hAnsi="Arial" w:cs="Arial"/>
        </w:rPr>
        <w:t>AREAS OF RESPONSIBILITY FOR THE SHARING OF CARE</w:t>
      </w:r>
    </w:p>
    <w:p w14:paraId="75DF29C1" w14:textId="26A4AAE8" w:rsidR="00A9329C" w:rsidRPr="00BA6026" w:rsidRDefault="00A9329C" w:rsidP="00C16DD8">
      <w:pPr>
        <w:tabs>
          <w:tab w:val="left" w:pos="540"/>
        </w:tabs>
        <w:spacing w:after="120"/>
        <w:jc w:val="both"/>
        <w:rPr>
          <w:rFonts w:ascii="Arial" w:hAnsi="Arial" w:cs="Arial"/>
          <w:b/>
          <w:snapToGrid w:val="0"/>
          <w:lang w:eastAsia="en-US"/>
        </w:rPr>
      </w:pPr>
      <w:r w:rsidRPr="00BA6026">
        <w:rPr>
          <w:rFonts w:ascii="Arial" w:hAnsi="Arial" w:cs="Arial"/>
        </w:rPr>
        <w:t xml:space="preserve">This shared care agreement outlines suggested ways in which the responsibilities for managing the prescribing of </w:t>
      </w:r>
      <w:r w:rsidR="007E52B6">
        <w:rPr>
          <w:rFonts w:ascii="Arial" w:hAnsi="Arial" w:cs="Arial"/>
        </w:rPr>
        <w:t xml:space="preserve">subcutaneous </w:t>
      </w:r>
      <w:r w:rsidR="00E925C6" w:rsidRPr="00BA6026">
        <w:rPr>
          <w:rFonts w:ascii="Arial" w:hAnsi="Arial" w:cs="Arial"/>
        </w:rPr>
        <w:t>denosumab</w:t>
      </w:r>
      <w:r w:rsidRPr="00BA6026">
        <w:rPr>
          <w:rFonts w:ascii="Arial" w:hAnsi="Arial" w:cs="Arial"/>
        </w:rPr>
        <w:t xml:space="preserve"> in </w:t>
      </w:r>
      <w:r w:rsidR="00C50571">
        <w:rPr>
          <w:rFonts w:ascii="Arial" w:hAnsi="Arial" w:cs="Arial"/>
        </w:rPr>
        <w:t xml:space="preserve">people with osteoporosis </w:t>
      </w:r>
      <w:proofErr w:type="gramStart"/>
      <w:r w:rsidR="00C50571">
        <w:rPr>
          <w:rFonts w:ascii="Arial" w:hAnsi="Arial" w:cs="Arial"/>
        </w:rPr>
        <w:t>can be shared</w:t>
      </w:r>
      <w:proofErr w:type="gramEnd"/>
      <w:r w:rsidR="007E52B6">
        <w:rPr>
          <w:rFonts w:ascii="Arial" w:hAnsi="Arial" w:cs="Arial"/>
        </w:rPr>
        <w:t>.</w:t>
      </w:r>
      <w:r w:rsidRPr="00BA6026">
        <w:rPr>
          <w:rFonts w:ascii="Arial" w:hAnsi="Arial" w:cs="Arial"/>
        </w:rPr>
        <w:t xml:space="preserve">  GPs are </w:t>
      </w:r>
      <w:r w:rsidRPr="00BA6026">
        <w:rPr>
          <w:rFonts w:ascii="Arial" w:hAnsi="Arial" w:cs="Arial"/>
          <w:b/>
        </w:rPr>
        <w:t>invited</w:t>
      </w:r>
      <w:r w:rsidRPr="00BA6026">
        <w:rPr>
          <w:rFonts w:ascii="Arial" w:hAnsi="Arial" w:cs="Arial"/>
        </w:rPr>
        <w:t xml:space="preserve"> to participate.  If the GP is not confident to undertake these roles, then he or she is under no obligation to do so.  In such an event, the total clinical responsibility for the patient for the diagnosed condition remains with the specialist.  </w:t>
      </w:r>
      <w:r w:rsidRPr="00BA6026">
        <w:rPr>
          <w:rFonts w:ascii="Arial" w:hAnsi="Arial" w:cs="Arial"/>
          <w:b/>
        </w:rPr>
        <w:t>If a specialist asks the GP to prescribe</w:t>
      </w:r>
      <w:r w:rsidR="007E52B6">
        <w:rPr>
          <w:rFonts w:ascii="Arial" w:hAnsi="Arial" w:cs="Arial"/>
          <w:b/>
        </w:rPr>
        <w:t xml:space="preserve"> and administer</w:t>
      </w:r>
      <w:r w:rsidRPr="00BA6026">
        <w:rPr>
          <w:rFonts w:ascii="Arial" w:hAnsi="Arial" w:cs="Arial"/>
          <w:b/>
        </w:rPr>
        <w:t xml:space="preserve"> this drug, the GP </w:t>
      </w:r>
      <w:r w:rsidRPr="00BA6026">
        <w:rPr>
          <w:rFonts w:ascii="Arial" w:hAnsi="Arial" w:cs="Arial"/>
          <w:b/>
          <w:snapToGrid w:val="0"/>
          <w:lang w:eastAsia="en-US"/>
        </w:rPr>
        <w:t>should reply to this request as soon as practicable.</w:t>
      </w:r>
    </w:p>
    <w:p w14:paraId="132ECC56" w14:textId="77777777" w:rsidR="00A9329C" w:rsidRPr="00BA6026" w:rsidRDefault="00A9329C" w:rsidP="00C16DD8">
      <w:pPr>
        <w:tabs>
          <w:tab w:val="right" w:pos="360"/>
          <w:tab w:val="left" w:pos="540"/>
        </w:tabs>
        <w:spacing w:after="120"/>
        <w:jc w:val="both"/>
        <w:rPr>
          <w:rFonts w:ascii="Arial" w:hAnsi="Arial" w:cs="Arial"/>
          <w:snapToGrid w:val="0"/>
          <w:lang w:eastAsia="en-US"/>
        </w:rPr>
      </w:pPr>
      <w:r w:rsidRPr="00BA6026">
        <w:rPr>
          <w:rFonts w:ascii="Arial" w:hAnsi="Arial" w:cs="Arial"/>
          <w:snapToGrid w:val="0"/>
          <w:lang w:eastAsia="en-US"/>
        </w:rPr>
        <w:t xml:space="preserve">Sharing of care assumes communication between the specialist, GP and patient.  The intention to share care is usually explained to the patient by the doctor initiating treatment.  It is important that patients are consulted about treatment and are in agreement with it.  Patients on </w:t>
      </w:r>
      <w:r w:rsidR="007E52B6">
        <w:rPr>
          <w:rFonts w:ascii="Arial" w:hAnsi="Arial" w:cs="Arial"/>
          <w:snapToGrid w:val="0"/>
          <w:lang w:eastAsia="en-US"/>
        </w:rPr>
        <w:t xml:space="preserve">denosumab </w:t>
      </w:r>
      <w:r w:rsidRPr="00BA6026">
        <w:rPr>
          <w:rFonts w:ascii="Arial" w:hAnsi="Arial" w:cs="Arial"/>
          <w:snapToGrid w:val="0"/>
          <w:lang w:eastAsia="en-US"/>
        </w:rPr>
        <w:t>are under regular follow-up, which provides opportunities to discuss drug therapy</w:t>
      </w:r>
      <w:r w:rsidRPr="00BA6026">
        <w:rPr>
          <w:rFonts w:ascii="Arial" w:hAnsi="Arial" w:cs="Arial"/>
          <w:i/>
          <w:snapToGrid w:val="0"/>
          <w:lang w:eastAsia="en-US"/>
        </w:rPr>
        <w:t xml:space="preserve">.  </w:t>
      </w:r>
    </w:p>
    <w:p w14:paraId="1128E1F9" w14:textId="77777777" w:rsidR="00A9329C" w:rsidRPr="00BA6026" w:rsidRDefault="00A9329C" w:rsidP="00C16DD8">
      <w:pPr>
        <w:pStyle w:val="mtrachead3"/>
        <w:keepNext w:val="0"/>
        <w:tabs>
          <w:tab w:val="right" w:pos="360"/>
          <w:tab w:val="left" w:pos="540"/>
        </w:tabs>
        <w:spacing w:after="120"/>
        <w:jc w:val="both"/>
        <w:outlineLvl w:val="9"/>
        <w:rPr>
          <w:rFonts w:ascii="Arial" w:hAnsi="Arial" w:cs="Arial"/>
        </w:rPr>
      </w:pPr>
      <w:r w:rsidRPr="00BA6026">
        <w:rPr>
          <w:rFonts w:ascii="Arial" w:hAnsi="Arial" w:cs="Arial"/>
        </w:rPr>
        <w:t>The doctor who prescribes the medication legally assumes clinical responsibility for the drug and the consequences of its use.</w:t>
      </w:r>
    </w:p>
    <w:p w14:paraId="49F0D9B5" w14:textId="77777777" w:rsidR="00A9329C" w:rsidRPr="00BA6026" w:rsidRDefault="00A9329C">
      <w:pPr>
        <w:tabs>
          <w:tab w:val="right" w:pos="360"/>
          <w:tab w:val="left" w:pos="540"/>
        </w:tabs>
        <w:jc w:val="both"/>
        <w:rPr>
          <w:rFonts w:ascii="Arial" w:hAnsi="Arial" w:cs="Arial"/>
          <w:b/>
          <w:snapToGrid w:val="0"/>
          <w:lang w:eastAsia="en-US"/>
        </w:rPr>
      </w:pPr>
      <w:r w:rsidRPr="00BA6026">
        <w:rPr>
          <w:rFonts w:ascii="Arial" w:hAnsi="Arial" w:cs="Arial"/>
          <w:b/>
          <w:snapToGrid w:val="0"/>
          <w:lang w:eastAsia="en-US"/>
        </w:rPr>
        <w:t>RESPONSIBILITIES and ROLES</w:t>
      </w:r>
    </w:p>
    <w:p w14:paraId="37DCE346" w14:textId="77777777" w:rsidR="00A9329C" w:rsidRPr="00BA6026" w:rsidRDefault="00A9329C">
      <w:pPr>
        <w:pStyle w:val="Footer"/>
        <w:tabs>
          <w:tab w:val="clear" w:pos="4153"/>
          <w:tab w:val="clear" w:pos="8306"/>
          <w:tab w:val="right" w:pos="360"/>
          <w:tab w:val="left" w:pos="540"/>
        </w:tabs>
        <w:jc w:val="both"/>
        <w:rPr>
          <w:rFonts w:ascii="Arial" w:hAnsi="Arial" w:cs="Arial"/>
          <w:snapToGrid w:val="0"/>
          <w:sz w:val="8"/>
          <w:lang w:eastAsia="en-US"/>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1"/>
      </w:tblGrid>
      <w:tr w:rsidR="00A9329C" w:rsidRPr="00BA6026" w14:paraId="360B240B" w14:textId="77777777" w:rsidTr="00C9776E">
        <w:tc>
          <w:tcPr>
            <w:tcW w:w="9781" w:type="dxa"/>
            <w:tcBorders>
              <w:bottom w:val="single" w:sz="4" w:space="0" w:color="auto"/>
            </w:tcBorders>
          </w:tcPr>
          <w:p w14:paraId="3007CB33" w14:textId="77777777" w:rsidR="00A9329C" w:rsidRPr="00BA6026" w:rsidRDefault="00A9329C">
            <w:pPr>
              <w:tabs>
                <w:tab w:val="left" w:pos="540"/>
              </w:tabs>
              <w:spacing w:before="40" w:after="40"/>
              <w:jc w:val="center"/>
              <w:rPr>
                <w:rFonts w:ascii="Arial" w:hAnsi="Arial" w:cs="Arial"/>
                <w:b/>
                <w:snapToGrid w:val="0"/>
                <w:lang w:eastAsia="en-US"/>
              </w:rPr>
            </w:pPr>
            <w:r w:rsidRPr="00BA6026">
              <w:rPr>
                <w:rFonts w:ascii="Arial" w:hAnsi="Arial" w:cs="Arial"/>
                <w:b/>
                <w:snapToGrid w:val="0"/>
                <w:lang w:eastAsia="en-US"/>
              </w:rPr>
              <w:t>Specialist responsibilities</w:t>
            </w:r>
          </w:p>
        </w:tc>
      </w:tr>
      <w:tr w:rsidR="00A9329C" w:rsidRPr="00BA6026" w14:paraId="172052A3" w14:textId="77777777" w:rsidTr="00C9776E">
        <w:trPr>
          <w:trHeight w:val="240"/>
        </w:trPr>
        <w:tc>
          <w:tcPr>
            <w:tcW w:w="9781" w:type="dxa"/>
            <w:tcBorders>
              <w:top w:val="nil"/>
              <w:left w:val="single" w:sz="4" w:space="0" w:color="auto"/>
              <w:bottom w:val="nil"/>
              <w:right w:val="single" w:sz="4" w:space="0" w:color="auto"/>
            </w:tcBorders>
          </w:tcPr>
          <w:p w14:paraId="64727C88" w14:textId="4F29631E" w:rsidR="00A9329C" w:rsidRPr="00BA6026" w:rsidRDefault="007E52B6" w:rsidP="00C50571">
            <w:pPr>
              <w:numPr>
                <w:ilvl w:val="0"/>
                <w:numId w:val="22"/>
              </w:numPr>
              <w:tabs>
                <w:tab w:val="left" w:pos="540"/>
              </w:tabs>
              <w:spacing w:before="20"/>
              <w:rPr>
                <w:rFonts w:ascii="Arial" w:hAnsi="Arial" w:cs="Arial"/>
                <w:snapToGrid w:val="0"/>
                <w:lang w:eastAsia="en-US"/>
              </w:rPr>
            </w:pPr>
            <w:r w:rsidRPr="007E52B6">
              <w:rPr>
                <w:rFonts w:ascii="Arial" w:hAnsi="Arial" w:cs="Arial"/>
                <w:snapToGrid w:val="0"/>
                <w:lang w:eastAsia="en-US"/>
              </w:rPr>
              <w:t xml:space="preserve">Assess patient suitability for denosumab in line with NICE </w:t>
            </w:r>
            <w:r w:rsidR="00C50571">
              <w:rPr>
                <w:rFonts w:ascii="Arial" w:hAnsi="Arial" w:cs="Arial"/>
                <w:snapToGrid w:val="0"/>
                <w:lang w:eastAsia="en-US"/>
              </w:rPr>
              <w:t>CG146</w:t>
            </w:r>
            <w:r w:rsidRPr="007E52B6">
              <w:rPr>
                <w:rFonts w:ascii="Arial" w:hAnsi="Arial" w:cs="Arial"/>
                <w:snapToGrid w:val="0"/>
                <w:lang w:eastAsia="en-US"/>
              </w:rPr>
              <w:t>.</w:t>
            </w:r>
          </w:p>
        </w:tc>
      </w:tr>
      <w:tr w:rsidR="006A2D0C" w:rsidRPr="00BA6026" w14:paraId="12842C52" w14:textId="77777777" w:rsidTr="0046276F">
        <w:trPr>
          <w:trHeight w:val="1687"/>
        </w:trPr>
        <w:tc>
          <w:tcPr>
            <w:tcW w:w="9781" w:type="dxa"/>
            <w:tcBorders>
              <w:top w:val="nil"/>
              <w:right w:val="single" w:sz="4" w:space="0" w:color="auto"/>
            </w:tcBorders>
          </w:tcPr>
          <w:p w14:paraId="4E0EF9E7" w14:textId="77777777" w:rsidR="006A2D0C" w:rsidRPr="00BA6026" w:rsidRDefault="006A2D0C">
            <w:pPr>
              <w:numPr>
                <w:ilvl w:val="0"/>
                <w:numId w:val="22"/>
              </w:numPr>
              <w:tabs>
                <w:tab w:val="left" w:pos="540"/>
              </w:tabs>
              <w:rPr>
                <w:rFonts w:ascii="Arial" w:hAnsi="Arial" w:cs="Arial"/>
                <w:snapToGrid w:val="0"/>
                <w:lang w:eastAsia="en-US"/>
              </w:rPr>
            </w:pPr>
            <w:r w:rsidRPr="00BA6026">
              <w:rPr>
                <w:rFonts w:ascii="Arial" w:hAnsi="Arial" w:cs="Arial"/>
                <w:snapToGrid w:val="0"/>
                <w:lang w:eastAsia="en-US"/>
              </w:rPr>
              <w:t xml:space="preserve">Discuss the benefits and side effects of treatment with the patient.  </w:t>
            </w:r>
          </w:p>
          <w:p w14:paraId="2F95DFB9" w14:textId="77777777" w:rsidR="006A2D0C" w:rsidRDefault="006A2D0C">
            <w:pPr>
              <w:numPr>
                <w:ilvl w:val="0"/>
                <w:numId w:val="22"/>
              </w:numPr>
              <w:tabs>
                <w:tab w:val="left" w:pos="540"/>
              </w:tabs>
              <w:rPr>
                <w:rFonts w:ascii="Arial" w:hAnsi="Arial" w:cs="Arial"/>
                <w:snapToGrid w:val="0"/>
                <w:lang w:eastAsia="en-US"/>
              </w:rPr>
            </w:pPr>
            <w:r w:rsidRPr="00BA6026">
              <w:rPr>
                <w:rFonts w:ascii="Arial" w:hAnsi="Arial" w:cs="Arial"/>
                <w:snapToGrid w:val="0"/>
                <w:lang w:eastAsia="en-US"/>
              </w:rPr>
              <w:t>Ask the GP whether he or she is willing to participate in shared care, and agree with the GP as to whom will discuss the shared care arrangement with the patient.</w:t>
            </w:r>
          </w:p>
          <w:p w14:paraId="23B476A7" w14:textId="48C2F979" w:rsidR="006A2D0C" w:rsidRPr="007E52B6" w:rsidRDefault="006A2D0C" w:rsidP="007E52B6">
            <w:pPr>
              <w:numPr>
                <w:ilvl w:val="0"/>
                <w:numId w:val="22"/>
              </w:numPr>
              <w:tabs>
                <w:tab w:val="left" w:pos="540"/>
              </w:tabs>
              <w:rPr>
                <w:rFonts w:ascii="Arial" w:hAnsi="Arial" w:cs="Arial"/>
                <w:snapToGrid w:val="0"/>
                <w:lang w:eastAsia="en-US"/>
              </w:rPr>
            </w:pPr>
            <w:r w:rsidRPr="007E52B6">
              <w:rPr>
                <w:rFonts w:ascii="Arial" w:hAnsi="Arial" w:cs="Arial"/>
                <w:snapToGrid w:val="0"/>
                <w:lang w:eastAsia="en-US"/>
              </w:rPr>
              <w:t xml:space="preserve">Arrange for appropriate </w:t>
            </w:r>
            <w:r w:rsidR="00C16DD8">
              <w:rPr>
                <w:rFonts w:ascii="Arial" w:hAnsi="Arial" w:cs="Arial"/>
                <w:snapToGrid w:val="0"/>
                <w:lang w:eastAsia="en-US"/>
              </w:rPr>
              <w:t xml:space="preserve">initial </w:t>
            </w:r>
            <w:r w:rsidRPr="007E52B6">
              <w:rPr>
                <w:rFonts w:ascii="Arial" w:hAnsi="Arial" w:cs="Arial"/>
                <w:snapToGrid w:val="0"/>
                <w:lang w:eastAsia="en-US"/>
              </w:rPr>
              <w:t>haematology/biochemistry</w:t>
            </w:r>
            <w:r w:rsidR="00C16DD8">
              <w:rPr>
                <w:rFonts w:ascii="Arial" w:hAnsi="Arial" w:cs="Arial"/>
                <w:snapToGrid w:val="0"/>
                <w:lang w:eastAsia="en-US"/>
              </w:rPr>
              <w:t>.</w:t>
            </w:r>
          </w:p>
          <w:p w14:paraId="4D3E7B0D" w14:textId="77777777" w:rsidR="00612F76" w:rsidRDefault="006A2D0C" w:rsidP="00805BAF">
            <w:pPr>
              <w:numPr>
                <w:ilvl w:val="0"/>
                <w:numId w:val="22"/>
              </w:numPr>
              <w:tabs>
                <w:tab w:val="left" w:pos="540"/>
              </w:tabs>
              <w:rPr>
                <w:rFonts w:ascii="Arial" w:hAnsi="Arial" w:cs="Arial"/>
                <w:snapToGrid w:val="0"/>
                <w:lang w:eastAsia="en-US"/>
              </w:rPr>
            </w:pPr>
            <w:r w:rsidRPr="00612F76">
              <w:rPr>
                <w:rFonts w:ascii="Arial" w:hAnsi="Arial" w:cs="Arial"/>
                <w:snapToGrid w:val="0"/>
                <w:lang w:eastAsia="en-US"/>
              </w:rPr>
              <w:t xml:space="preserve">Initiate </w:t>
            </w:r>
            <w:r w:rsidR="0029008C" w:rsidRPr="00612F76">
              <w:rPr>
                <w:rFonts w:ascii="Arial" w:hAnsi="Arial" w:cs="Arial"/>
                <w:snapToGrid w:val="0"/>
                <w:lang w:eastAsia="en-US"/>
              </w:rPr>
              <w:t>and administer</w:t>
            </w:r>
            <w:r w:rsidRPr="00612F76">
              <w:rPr>
                <w:rFonts w:ascii="Arial" w:hAnsi="Arial" w:cs="Arial"/>
                <w:snapToGrid w:val="0"/>
                <w:lang w:eastAsia="en-US"/>
              </w:rPr>
              <w:t xml:space="preserve"> the first dose of treatment with denosumab if not contraindicated</w:t>
            </w:r>
            <w:r w:rsidR="00B939D7" w:rsidRPr="00612F76">
              <w:rPr>
                <w:rFonts w:ascii="Arial" w:hAnsi="Arial" w:cs="Arial"/>
                <w:snapToGrid w:val="0"/>
                <w:lang w:eastAsia="en-US"/>
              </w:rPr>
              <w:t xml:space="preserve">.  </w:t>
            </w:r>
          </w:p>
          <w:p w14:paraId="2DEA3203" w14:textId="1BD25B41" w:rsidR="00612F76" w:rsidRPr="00424695" w:rsidRDefault="00612F76" w:rsidP="00805BAF">
            <w:pPr>
              <w:numPr>
                <w:ilvl w:val="0"/>
                <w:numId w:val="22"/>
              </w:numPr>
              <w:tabs>
                <w:tab w:val="left" w:pos="540"/>
              </w:tabs>
              <w:rPr>
                <w:rFonts w:ascii="Arial" w:hAnsi="Arial" w:cs="Arial"/>
                <w:snapToGrid w:val="0"/>
                <w:lang w:eastAsia="en-US"/>
              </w:rPr>
            </w:pPr>
            <w:r w:rsidRPr="00424695">
              <w:rPr>
                <w:rFonts w:ascii="Arial" w:hAnsi="Arial" w:cs="Arial"/>
                <w:snapToGrid w:val="0"/>
                <w:lang w:eastAsia="en-US"/>
              </w:rPr>
              <w:t>Agree with the GP who will be responsible for a) following up the patient’s response to treatment and      b) administering the second dose</w:t>
            </w:r>
            <w:r w:rsidR="00E461F6">
              <w:rPr>
                <w:rFonts w:ascii="Arial" w:hAnsi="Arial" w:cs="Arial"/>
                <w:snapToGrid w:val="0"/>
                <w:lang w:eastAsia="en-US"/>
              </w:rPr>
              <w:t>; this may be dependent on any prior history of hypocalcaemia (see All Wales Medicines Strategy Group Shared care protocol for denosumab)</w:t>
            </w:r>
            <w:r w:rsidRPr="00424695">
              <w:rPr>
                <w:rFonts w:ascii="Arial" w:hAnsi="Arial" w:cs="Arial"/>
                <w:snapToGrid w:val="0"/>
                <w:lang w:eastAsia="en-US"/>
              </w:rPr>
              <w:t>.</w:t>
            </w:r>
          </w:p>
          <w:p w14:paraId="73EA44DF" w14:textId="71037D48" w:rsidR="006A2D0C" w:rsidRPr="00612F76" w:rsidRDefault="00040F56" w:rsidP="00805BAF">
            <w:pPr>
              <w:numPr>
                <w:ilvl w:val="0"/>
                <w:numId w:val="22"/>
              </w:numPr>
              <w:tabs>
                <w:tab w:val="left" w:pos="540"/>
              </w:tabs>
              <w:rPr>
                <w:rFonts w:ascii="Arial" w:hAnsi="Arial" w:cs="Arial"/>
                <w:snapToGrid w:val="0"/>
                <w:lang w:eastAsia="en-US"/>
              </w:rPr>
            </w:pPr>
            <w:r w:rsidRPr="00612F76">
              <w:rPr>
                <w:rFonts w:ascii="Arial" w:hAnsi="Arial" w:cs="Arial"/>
                <w:snapToGrid w:val="0"/>
                <w:lang w:eastAsia="en-US"/>
              </w:rPr>
              <w:t>Report adverse events to the Medicines and Healthcare Products Regulatory Agency (</w:t>
            </w:r>
            <w:r w:rsidR="006A2D0C" w:rsidRPr="00612F76">
              <w:rPr>
                <w:rFonts w:ascii="Arial" w:hAnsi="Arial" w:cs="Arial"/>
                <w:snapToGrid w:val="0"/>
                <w:lang w:eastAsia="en-US"/>
              </w:rPr>
              <w:t>MHRA</w:t>
            </w:r>
            <w:r w:rsidRPr="00612F76">
              <w:rPr>
                <w:rFonts w:ascii="Arial" w:hAnsi="Arial" w:cs="Arial"/>
                <w:snapToGrid w:val="0"/>
                <w:lang w:eastAsia="en-US"/>
              </w:rPr>
              <w:t>)</w:t>
            </w:r>
            <w:r w:rsidR="006A2D0C" w:rsidRPr="00612F76">
              <w:rPr>
                <w:rFonts w:ascii="Arial" w:hAnsi="Arial" w:cs="Arial"/>
                <w:snapToGrid w:val="0"/>
                <w:lang w:eastAsia="en-US"/>
              </w:rPr>
              <w:t xml:space="preserve"> and GP.</w:t>
            </w:r>
          </w:p>
          <w:p w14:paraId="7D6122E2" w14:textId="4E7D2EFA" w:rsidR="00D72DA7" w:rsidRPr="00612F76" w:rsidRDefault="006A2D0C" w:rsidP="00612F76">
            <w:pPr>
              <w:numPr>
                <w:ilvl w:val="0"/>
                <w:numId w:val="22"/>
              </w:numPr>
              <w:tabs>
                <w:tab w:val="left" w:pos="540"/>
              </w:tabs>
              <w:rPr>
                <w:rFonts w:ascii="Arial" w:hAnsi="Arial" w:cs="Arial"/>
                <w:snapToGrid w:val="0"/>
                <w:lang w:eastAsia="en-US"/>
              </w:rPr>
            </w:pPr>
            <w:r w:rsidRPr="00BA6026">
              <w:rPr>
                <w:rFonts w:ascii="Arial" w:hAnsi="Arial" w:cs="Arial"/>
                <w:snapToGrid w:val="0"/>
                <w:lang w:eastAsia="en-US"/>
              </w:rPr>
              <w:t>Ensure that clear backup arrangements exist for GPs to obtain advice and support.</w:t>
            </w:r>
          </w:p>
        </w:tc>
      </w:tr>
    </w:tbl>
    <w:p w14:paraId="1969097C" w14:textId="77777777" w:rsidR="00A9329C" w:rsidRPr="00BA6026" w:rsidRDefault="00A9329C">
      <w:pPr>
        <w:tabs>
          <w:tab w:val="right" w:pos="360"/>
          <w:tab w:val="left" w:pos="540"/>
        </w:tabs>
        <w:jc w:val="both"/>
        <w:rPr>
          <w:rFonts w:ascii="Arial" w:hAnsi="Arial" w:cs="Arial"/>
          <w:snapToGrid w:val="0"/>
          <w:sz w:val="16"/>
          <w:lang w:eastAsia="en-US"/>
        </w:rPr>
      </w:pPr>
    </w:p>
    <w:tbl>
      <w:tblPr>
        <w:tblW w:w="978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781"/>
      </w:tblGrid>
      <w:tr w:rsidR="00A9329C" w:rsidRPr="00BA6026" w14:paraId="50735D8A" w14:textId="77777777" w:rsidTr="00C9776E">
        <w:tc>
          <w:tcPr>
            <w:tcW w:w="9781" w:type="dxa"/>
            <w:tcBorders>
              <w:bottom w:val="single" w:sz="4" w:space="0" w:color="auto"/>
            </w:tcBorders>
          </w:tcPr>
          <w:p w14:paraId="6D9D8E92" w14:textId="77777777" w:rsidR="00A9329C" w:rsidRPr="00BA6026" w:rsidRDefault="00A9329C">
            <w:pPr>
              <w:tabs>
                <w:tab w:val="left" w:pos="540"/>
              </w:tabs>
              <w:spacing w:before="40" w:after="40"/>
              <w:jc w:val="center"/>
              <w:rPr>
                <w:rFonts w:ascii="Arial" w:hAnsi="Arial" w:cs="Arial"/>
                <w:b/>
                <w:snapToGrid w:val="0"/>
                <w:lang w:eastAsia="en-US"/>
              </w:rPr>
            </w:pPr>
            <w:r w:rsidRPr="00BA6026">
              <w:rPr>
                <w:rFonts w:ascii="Arial" w:hAnsi="Arial" w:cs="Arial"/>
                <w:b/>
              </w:rPr>
              <w:t>General Practitioner r</w:t>
            </w:r>
            <w:r w:rsidRPr="00BA6026">
              <w:rPr>
                <w:rFonts w:ascii="Arial" w:hAnsi="Arial" w:cs="Arial"/>
                <w:b/>
                <w:snapToGrid w:val="0"/>
                <w:lang w:eastAsia="en-US"/>
              </w:rPr>
              <w:t>esponsibilities</w:t>
            </w:r>
          </w:p>
        </w:tc>
      </w:tr>
      <w:tr w:rsidR="007E52B6" w:rsidRPr="00BA6026" w14:paraId="455B2DC3" w14:textId="77777777" w:rsidTr="00C9776E">
        <w:trPr>
          <w:trHeight w:val="1842"/>
        </w:trPr>
        <w:tc>
          <w:tcPr>
            <w:tcW w:w="9781" w:type="dxa"/>
            <w:tcBorders>
              <w:top w:val="nil"/>
              <w:left w:val="single" w:sz="4" w:space="0" w:color="auto"/>
              <w:right w:val="single" w:sz="4" w:space="0" w:color="auto"/>
            </w:tcBorders>
          </w:tcPr>
          <w:p w14:paraId="74D8638D" w14:textId="77777777" w:rsidR="007E52B6" w:rsidRPr="00BA6026" w:rsidRDefault="007E52B6">
            <w:pPr>
              <w:numPr>
                <w:ilvl w:val="0"/>
                <w:numId w:val="23"/>
              </w:numPr>
              <w:tabs>
                <w:tab w:val="left" w:pos="540"/>
              </w:tabs>
              <w:rPr>
                <w:rFonts w:ascii="Arial" w:hAnsi="Arial" w:cs="Arial"/>
                <w:snapToGrid w:val="0"/>
                <w:lang w:eastAsia="en-US"/>
              </w:rPr>
            </w:pPr>
            <w:r w:rsidRPr="00BA6026">
              <w:rPr>
                <w:rFonts w:ascii="Arial" w:hAnsi="Arial" w:cs="Arial"/>
                <w:snapToGrid w:val="0"/>
                <w:lang w:eastAsia="en-US"/>
              </w:rPr>
              <w:t>Reply to the request for shared care as soon as practicable.</w:t>
            </w:r>
          </w:p>
          <w:p w14:paraId="2C70120F" w14:textId="06B11C35" w:rsidR="007E52B6" w:rsidRPr="00BA6026" w:rsidRDefault="00612F76" w:rsidP="007E52B6">
            <w:pPr>
              <w:numPr>
                <w:ilvl w:val="0"/>
                <w:numId w:val="23"/>
              </w:numPr>
              <w:tabs>
                <w:tab w:val="left" w:pos="540"/>
              </w:tabs>
              <w:rPr>
                <w:rFonts w:ascii="Arial" w:hAnsi="Arial" w:cs="Arial"/>
                <w:snapToGrid w:val="0"/>
                <w:lang w:eastAsia="en-US"/>
              </w:rPr>
            </w:pPr>
            <w:r>
              <w:rPr>
                <w:rFonts w:ascii="Arial" w:hAnsi="Arial" w:cs="Arial"/>
                <w:snapToGrid w:val="0"/>
                <w:lang w:eastAsia="en-US"/>
              </w:rPr>
              <w:t>Following discussion with the specialist, p</w:t>
            </w:r>
            <w:r w:rsidR="007E52B6" w:rsidRPr="00BA6026">
              <w:rPr>
                <w:rFonts w:ascii="Arial" w:hAnsi="Arial" w:cs="Arial"/>
                <w:snapToGrid w:val="0"/>
                <w:lang w:eastAsia="en-US"/>
              </w:rPr>
              <w:t xml:space="preserve">rescribe and administer </w:t>
            </w:r>
            <w:r w:rsidR="007E52B6">
              <w:rPr>
                <w:rFonts w:ascii="Arial" w:hAnsi="Arial" w:cs="Arial"/>
                <w:snapToGrid w:val="0"/>
                <w:lang w:eastAsia="en-US"/>
              </w:rPr>
              <w:t xml:space="preserve">the </w:t>
            </w:r>
            <w:r>
              <w:rPr>
                <w:rFonts w:ascii="Arial" w:hAnsi="Arial" w:cs="Arial"/>
                <w:snapToGrid w:val="0"/>
                <w:lang w:eastAsia="en-US"/>
              </w:rPr>
              <w:t>second or third</w:t>
            </w:r>
            <w:r w:rsidR="007E52B6">
              <w:rPr>
                <w:rFonts w:ascii="Arial" w:hAnsi="Arial" w:cs="Arial"/>
                <w:snapToGrid w:val="0"/>
                <w:lang w:eastAsia="en-US"/>
              </w:rPr>
              <w:t xml:space="preserve"> and subsequent treatment</w:t>
            </w:r>
            <w:r>
              <w:rPr>
                <w:rFonts w:ascii="Arial" w:hAnsi="Arial" w:cs="Arial"/>
                <w:snapToGrid w:val="0"/>
                <w:lang w:eastAsia="en-US"/>
              </w:rPr>
              <w:t>s</w:t>
            </w:r>
            <w:r w:rsidR="007E52B6">
              <w:rPr>
                <w:rFonts w:ascii="Arial" w:hAnsi="Arial" w:cs="Arial"/>
                <w:snapToGrid w:val="0"/>
                <w:lang w:eastAsia="en-US"/>
              </w:rPr>
              <w:t xml:space="preserve"> with denosumab</w:t>
            </w:r>
            <w:r>
              <w:rPr>
                <w:rFonts w:ascii="Arial" w:hAnsi="Arial" w:cs="Arial"/>
                <w:snapToGrid w:val="0"/>
                <w:lang w:eastAsia="en-US"/>
              </w:rPr>
              <w:t xml:space="preserve"> as agreed and</w:t>
            </w:r>
            <w:r w:rsidR="007E52B6">
              <w:rPr>
                <w:rFonts w:ascii="Arial" w:hAnsi="Arial" w:cs="Arial"/>
                <w:snapToGrid w:val="0"/>
                <w:lang w:eastAsia="en-US"/>
              </w:rPr>
              <w:t xml:space="preserve"> at the dose recommended</w:t>
            </w:r>
            <w:r w:rsidR="007E52B6" w:rsidRPr="00BA6026">
              <w:rPr>
                <w:rFonts w:ascii="Arial" w:hAnsi="Arial" w:cs="Arial"/>
                <w:snapToGrid w:val="0"/>
                <w:lang w:eastAsia="en-US"/>
              </w:rPr>
              <w:t xml:space="preserve">. </w:t>
            </w:r>
          </w:p>
          <w:p w14:paraId="62718A43" w14:textId="0F93625B" w:rsidR="007E52B6" w:rsidRPr="00C16DD8" w:rsidRDefault="007E52B6" w:rsidP="007E52B6">
            <w:pPr>
              <w:numPr>
                <w:ilvl w:val="0"/>
                <w:numId w:val="23"/>
              </w:numPr>
              <w:tabs>
                <w:tab w:val="left" w:pos="540"/>
              </w:tabs>
              <w:rPr>
                <w:rFonts w:ascii="Arial" w:hAnsi="Arial" w:cs="Arial"/>
                <w:snapToGrid w:val="0"/>
                <w:lang w:eastAsia="en-US"/>
              </w:rPr>
            </w:pPr>
            <w:r>
              <w:rPr>
                <w:rFonts w:ascii="Arial" w:hAnsi="Arial" w:cs="Arial"/>
              </w:rPr>
              <w:t xml:space="preserve">Ensure that the practice system is set up to recall </w:t>
            </w:r>
            <w:r w:rsidR="00BB0E94">
              <w:rPr>
                <w:rFonts w:ascii="Arial" w:hAnsi="Arial" w:cs="Arial"/>
              </w:rPr>
              <w:t>the</w:t>
            </w:r>
            <w:r w:rsidR="009810B8">
              <w:rPr>
                <w:rFonts w:ascii="Arial" w:hAnsi="Arial" w:cs="Arial"/>
              </w:rPr>
              <w:t xml:space="preserve"> patient after a six-</w:t>
            </w:r>
            <w:r>
              <w:rPr>
                <w:rFonts w:ascii="Arial" w:hAnsi="Arial" w:cs="Arial"/>
              </w:rPr>
              <w:t>month interval</w:t>
            </w:r>
            <w:r w:rsidR="00C16DD8">
              <w:rPr>
                <w:rFonts w:ascii="Arial" w:hAnsi="Arial" w:cs="Arial"/>
              </w:rPr>
              <w:t>.</w:t>
            </w:r>
          </w:p>
          <w:p w14:paraId="6D685573" w14:textId="64A516B8" w:rsidR="00C16DD8" w:rsidRPr="00BA6026" w:rsidRDefault="009810B8" w:rsidP="007E52B6">
            <w:pPr>
              <w:numPr>
                <w:ilvl w:val="0"/>
                <w:numId w:val="23"/>
              </w:numPr>
              <w:tabs>
                <w:tab w:val="left" w:pos="540"/>
              </w:tabs>
              <w:rPr>
                <w:rFonts w:ascii="Arial" w:hAnsi="Arial" w:cs="Arial"/>
                <w:snapToGrid w:val="0"/>
                <w:lang w:eastAsia="en-US"/>
              </w:rPr>
            </w:pPr>
            <w:r>
              <w:rPr>
                <w:rFonts w:ascii="Arial" w:hAnsi="Arial" w:cs="Arial"/>
              </w:rPr>
              <w:t>To undertake</w:t>
            </w:r>
            <w:r w:rsidR="00C16DD8">
              <w:rPr>
                <w:rFonts w:ascii="Arial" w:hAnsi="Arial" w:cs="Arial"/>
              </w:rPr>
              <w:t xml:space="preserve"> monitoring </w:t>
            </w:r>
            <w:r>
              <w:rPr>
                <w:rFonts w:ascii="Arial" w:hAnsi="Arial" w:cs="Arial"/>
              </w:rPr>
              <w:t xml:space="preserve">of </w:t>
            </w:r>
            <w:r w:rsidR="00C16DD8">
              <w:rPr>
                <w:rFonts w:ascii="Arial" w:hAnsi="Arial" w:cs="Arial"/>
              </w:rPr>
              <w:t>calcium</w:t>
            </w:r>
            <w:r>
              <w:rPr>
                <w:rFonts w:ascii="Arial" w:hAnsi="Arial" w:cs="Arial"/>
              </w:rPr>
              <w:t xml:space="preserve"> levels as recommended (see contraindications)</w:t>
            </w:r>
          </w:p>
          <w:p w14:paraId="38D20AC0" w14:textId="2D4F4F81" w:rsidR="007E52B6" w:rsidRPr="007E52B6" w:rsidRDefault="007E52B6">
            <w:pPr>
              <w:numPr>
                <w:ilvl w:val="0"/>
                <w:numId w:val="23"/>
              </w:numPr>
              <w:tabs>
                <w:tab w:val="left" w:pos="540"/>
              </w:tabs>
              <w:rPr>
                <w:rFonts w:ascii="Arial" w:hAnsi="Arial" w:cs="Arial"/>
                <w:snapToGrid w:val="0"/>
                <w:lang w:eastAsia="en-US"/>
              </w:rPr>
            </w:pPr>
            <w:r w:rsidRPr="00BA6026">
              <w:rPr>
                <w:rFonts w:ascii="Arial" w:hAnsi="Arial" w:cs="Arial"/>
              </w:rPr>
              <w:t>Report to and seek advice from the specialist on any aspect of patient care that is of concern to the GP and may affect treatment</w:t>
            </w:r>
            <w:r w:rsidR="00E461F6">
              <w:rPr>
                <w:rFonts w:ascii="Arial" w:hAnsi="Arial" w:cs="Arial"/>
              </w:rPr>
              <w:t>.</w:t>
            </w:r>
          </w:p>
          <w:p w14:paraId="6CF33C7E" w14:textId="77777777" w:rsidR="007E52B6" w:rsidRPr="00BA6026" w:rsidRDefault="007E52B6">
            <w:pPr>
              <w:numPr>
                <w:ilvl w:val="0"/>
                <w:numId w:val="23"/>
              </w:numPr>
              <w:tabs>
                <w:tab w:val="left" w:pos="540"/>
              </w:tabs>
              <w:rPr>
                <w:rFonts w:ascii="Arial" w:hAnsi="Arial" w:cs="Arial"/>
                <w:snapToGrid w:val="0"/>
                <w:lang w:eastAsia="en-US"/>
              </w:rPr>
            </w:pPr>
            <w:r w:rsidRPr="00BA6026">
              <w:rPr>
                <w:rFonts w:ascii="Arial" w:hAnsi="Arial" w:cs="Arial"/>
              </w:rPr>
              <w:t>Refer back to specialist if the patient’s condition deteriorates, as advised.</w:t>
            </w:r>
          </w:p>
          <w:p w14:paraId="4A649852" w14:textId="77777777" w:rsidR="007E52B6" w:rsidRPr="00BA6026" w:rsidRDefault="007E52B6">
            <w:pPr>
              <w:numPr>
                <w:ilvl w:val="0"/>
                <w:numId w:val="23"/>
              </w:numPr>
              <w:tabs>
                <w:tab w:val="left" w:pos="540"/>
              </w:tabs>
              <w:rPr>
                <w:rFonts w:ascii="Arial" w:hAnsi="Arial" w:cs="Arial"/>
                <w:snapToGrid w:val="0"/>
                <w:lang w:eastAsia="en-US"/>
              </w:rPr>
            </w:pPr>
            <w:r w:rsidRPr="00BA6026">
              <w:rPr>
                <w:rFonts w:ascii="Arial" w:hAnsi="Arial" w:cs="Arial"/>
                <w:snapToGrid w:val="0"/>
                <w:lang w:eastAsia="en-US"/>
              </w:rPr>
              <w:t>Stop treatment on the advice of the specialist or immediately if an urgent need to stop treatment arises.</w:t>
            </w:r>
          </w:p>
          <w:p w14:paraId="103466DF" w14:textId="582D58FB" w:rsidR="007E52B6" w:rsidRPr="006A2D0C" w:rsidRDefault="007E52B6" w:rsidP="006A2D0C">
            <w:pPr>
              <w:numPr>
                <w:ilvl w:val="0"/>
                <w:numId w:val="23"/>
              </w:numPr>
              <w:tabs>
                <w:tab w:val="left" w:pos="540"/>
              </w:tabs>
              <w:rPr>
                <w:rFonts w:ascii="Arial" w:hAnsi="Arial" w:cs="Arial"/>
                <w:snapToGrid w:val="0"/>
                <w:lang w:eastAsia="en-US"/>
              </w:rPr>
            </w:pPr>
            <w:r w:rsidRPr="00BA6026">
              <w:rPr>
                <w:rFonts w:ascii="Arial" w:hAnsi="Arial" w:cs="Arial"/>
                <w:snapToGrid w:val="0"/>
                <w:lang w:eastAsia="en-US"/>
              </w:rPr>
              <w:t>Report adver</w:t>
            </w:r>
            <w:r w:rsidR="006A2D0C">
              <w:rPr>
                <w:rFonts w:ascii="Arial" w:hAnsi="Arial" w:cs="Arial"/>
                <w:snapToGrid w:val="0"/>
                <w:lang w:eastAsia="en-US"/>
              </w:rPr>
              <w:t>se even</w:t>
            </w:r>
            <w:r w:rsidR="00040F56">
              <w:rPr>
                <w:rFonts w:ascii="Arial" w:hAnsi="Arial" w:cs="Arial"/>
                <w:snapToGrid w:val="0"/>
                <w:lang w:eastAsia="en-US"/>
              </w:rPr>
              <w:t>ts to the specialist</w:t>
            </w:r>
            <w:r w:rsidR="009810B8">
              <w:rPr>
                <w:rFonts w:ascii="Arial" w:hAnsi="Arial" w:cs="Arial"/>
                <w:snapToGrid w:val="0"/>
                <w:lang w:eastAsia="en-US"/>
              </w:rPr>
              <w:t>/specialist nurse</w:t>
            </w:r>
            <w:r w:rsidR="00040F56">
              <w:rPr>
                <w:rFonts w:ascii="Arial" w:hAnsi="Arial" w:cs="Arial"/>
                <w:snapToGrid w:val="0"/>
                <w:lang w:eastAsia="en-US"/>
              </w:rPr>
              <w:t xml:space="preserve"> </w:t>
            </w:r>
            <w:r w:rsidR="006A2D0C">
              <w:rPr>
                <w:rFonts w:ascii="Arial" w:hAnsi="Arial" w:cs="Arial"/>
                <w:snapToGrid w:val="0"/>
                <w:lang w:eastAsia="en-US"/>
              </w:rPr>
              <w:t>and MHRA</w:t>
            </w:r>
            <w:r w:rsidRPr="00BA6026">
              <w:rPr>
                <w:rFonts w:ascii="Arial" w:hAnsi="Arial" w:cs="Arial"/>
                <w:snapToGrid w:val="0"/>
                <w:lang w:eastAsia="en-US"/>
              </w:rPr>
              <w:t>.</w:t>
            </w:r>
          </w:p>
        </w:tc>
      </w:tr>
    </w:tbl>
    <w:p w14:paraId="0F32CC2A" w14:textId="77777777" w:rsidR="00A9329C" w:rsidRPr="00BA6026" w:rsidRDefault="00A9329C">
      <w:pPr>
        <w:pStyle w:val="mtrachead3"/>
        <w:keepNext w:val="0"/>
        <w:jc w:val="both"/>
        <w:outlineLvl w:val="9"/>
        <w:rPr>
          <w:rFonts w:ascii="Arial" w:hAnsi="Arial" w:cs="Arial"/>
          <w:snapToGrid/>
          <w:sz w:val="16"/>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81"/>
      </w:tblGrid>
      <w:tr w:rsidR="00A9329C" w:rsidRPr="00BA6026" w14:paraId="65783905" w14:textId="77777777" w:rsidTr="00B77271">
        <w:tc>
          <w:tcPr>
            <w:tcW w:w="9781" w:type="dxa"/>
            <w:tcBorders>
              <w:bottom w:val="single" w:sz="4" w:space="0" w:color="auto"/>
            </w:tcBorders>
          </w:tcPr>
          <w:p w14:paraId="2ACF157D" w14:textId="77777777" w:rsidR="00A9329C" w:rsidRPr="00BA6026" w:rsidRDefault="00A9329C">
            <w:pPr>
              <w:tabs>
                <w:tab w:val="left" w:pos="540"/>
              </w:tabs>
              <w:spacing w:before="40" w:after="40"/>
              <w:jc w:val="center"/>
              <w:rPr>
                <w:rFonts w:ascii="Arial" w:hAnsi="Arial" w:cs="Arial"/>
                <w:b/>
                <w:snapToGrid w:val="0"/>
                <w:lang w:eastAsia="en-US"/>
              </w:rPr>
            </w:pPr>
            <w:r w:rsidRPr="00BA6026">
              <w:rPr>
                <w:rFonts w:ascii="Arial" w:hAnsi="Arial" w:cs="Arial"/>
                <w:b/>
              </w:rPr>
              <w:t>Patient's r</w:t>
            </w:r>
            <w:r w:rsidRPr="00BA6026">
              <w:rPr>
                <w:rFonts w:ascii="Arial" w:hAnsi="Arial" w:cs="Arial"/>
                <w:b/>
                <w:snapToGrid w:val="0"/>
                <w:lang w:eastAsia="en-US"/>
              </w:rPr>
              <w:t>ole</w:t>
            </w:r>
          </w:p>
        </w:tc>
      </w:tr>
      <w:tr w:rsidR="00A9329C" w:rsidRPr="00BA6026" w14:paraId="6B31B313" w14:textId="77777777" w:rsidTr="00B77271">
        <w:trPr>
          <w:trHeight w:val="248"/>
        </w:trPr>
        <w:tc>
          <w:tcPr>
            <w:tcW w:w="9781" w:type="dxa"/>
            <w:tcBorders>
              <w:top w:val="nil"/>
              <w:left w:val="single" w:sz="4" w:space="0" w:color="auto"/>
              <w:bottom w:val="nil"/>
              <w:right w:val="single" w:sz="4" w:space="0" w:color="auto"/>
            </w:tcBorders>
          </w:tcPr>
          <w:p w14:paraId="50306223" w14:textId="1988496D" w:rsidR="00A9329C" w:rsidRPr="00BA6026" w:rsidRDefault="00A9329C">
            <w:pPr>
              <w:numPr>
                <w:ilvl w:val="0"/>
                <w:numId w:val="24"/>
              </w:numPr>
              <w:jc w:val="both"/>
              <w:rPr>
                <w:rFonts w:ascii="Arial" w:hAnsi="Arial" w:cs="Arial"/>
              </w:rPr>
            </w:pPr>
            <w:r w:rsidRPr="00BA6026">
              <w:rPr>
                <w:rFonts w:ascii="Arial" w:hAnsi="Arial" w:cs="Arial"/>
              </w:rPr>
              <w:t>Report to the sp</w:t>
            </w:r>
            <w:r w:rsidR="006A2D0C">
              <w:rPr>
                <w:rFonts w:ascii="Arial" w:hAnsi="Arial" w:cs="Arial"/>
              </w:rPr>
              <w:t>ecialist or G</w:t>
            </w:r>
            <w:r w:rsidR="006A2D0C" w:rsidRPr="00424695">
              <w:rPr>
                <w:rFonts w:ascii="Arial" w:hAnsi="Arial" w:cs="Arial"/>
              </w:rPr>
              <w:t xml:space="preserve">P if </w:t>
            </w:r>
            <w:r w:rsidR="00C50571" w:rsidRPr="00424695">
              <w:rPr>
                <w:rFonts w:ascii="Arial" w:hAnsi="Arial" w:cs="Arial"/>
              </w:rPr>
              <w:t xml:space="preserve">he or </w:t>
            </w:r>
            <w:r w:rsidRPr="00424695">
              <w:rPr>
                <w:rFonts w:ascii="Arial" w:hAnsi="Arial" w:cs="Arial"/>
              </w:rPr>
              <w:t>she does no</w:t>
            </w:r>
            <w:r w:rsidRPr="00BA6026">
              <w:rPr>
                <w:rFonts w:ascii="Arial" w:hAnsi="Arial" w:cs="Arial"/>
              </w:rPr>
              <w:t>t have a clear understanding of the treatment.</w:t>
            </w:r>
          </w:p>
        </w:tc>
      </w:tr>
      <w:tr w:rsidR="00A9329C" w:rsidRPr="00BA6026" w14:paraId="282D63F9" w14:textId="77777777" w:rsidTr="00B77271">
        <w:trPr>
          <w:trHeight w:val="240"/>
        </w:trPr>
        <w:tc>
          <w:tcPr>
            <w:tcW w:w="9781" w:type="dxa"/>
            <w:tcBorders>
              <w:top w:val="nil"/>
              <w:left w:val="single" w:sz="4" w:space="0" w:color="auto"/>
              <w:bottom w:val="nil"/>
              <w:right w:val="single" w:sz="4" w:space="0" w:color="auto"/>
            </w:tcBorders>
          </w:tcPr>
          <w:p w14:paraId="6CAFE25A" w14:textId="77777777" w:rsidR="00A9329C" w:rsidRDefault="00A9329C">
            <w:pPr>
              <w:numPr>
                <w:ilvl w:val="0"/>
                <w:numId w:val="24"/>
              </w:numPr>
              <w:jc w:val="both"/>
              <w:rPr>
                <w:rFonts w:ascii="Arial" w:hAnsi="Arial" w:cs="Arial"/>
              </w:rPr>
            </w:pPr>
            <w:r w:rsidRPr="00BA6026">
              <w:rPr>
                <w:rFonts w:ascii="Arial" w:hAnsi="Arial" w:cs="Arial"/>
              </w:rPr>
              <w:t>Share any concerns in relat</w:t>
            </w:r>
            <w:r w:rsidR="00256A1B">
              <w:rPr>
                <w:rFonts w:ascii="Arial" w:hAnsi="Arial" w:cs="Arial"/>
              </w:rPr>
              <w:t>ion to treatment with denosumab</w:t>
            </w:r>
            <w:r w:rsidRPr="00BA6026">
              <w:rPr>
                <w:rFonts w:ascii="Arial" w:hAnsi="Arial" w:cs="Arial"/>
              </w:rPr>
              <w:t>.</w:t>
            </w:r>
          </w:p>
          <w:p w14:paraId="328B79AD" w14:textId="2A190CDE" w:rsidR="00A56232" w:rsidRPr="00BA6026" w:rsidRDefault="00A56232">
            <w:pPr>
              <w:numPr>
                <w:ilvl w:val="0"/>
                <w:numId w:val="24"/>
              </w:numPr>
              <w:jc w:val="both"/>
              <w:rPr>
                <w:rFonts w:ascii="Arial" w:hAnsi="Arial" w:cs="Arial"/>
              </w:rPr>
            </w:pPr>
            <w:r>
              <w:rPr>
                <w:rFonts w:ascii="Arial" w:hAnsi="Arial" w:cs="Arial"/>
              </w:rPr>
              <w:t>Adhere to any calcium and vitamin D treatment</w:t>
            </w:r>
            <w:r w:rsidR="00BB0E94">
              <w:rPr>
                <w:rFonts w:ascii="Arial" w:hAnsi="Arial" w:cs="Arial"/>
              </w:rPr>
              <w:t xml:space="preserve"> prescribed</w:t>
            </w:r>
            <w:r>
              <w:rPr>
                <w:rFonts w:ascii="Arial" w:hAnsi="Arial" w:cs="Arial"/>
              </w:rPr>
              <w:t>.</w:t>
            </w:r>
          </w:p>
          <w:p w14:paraId="2BC7B9BD" w14:textId="77777777" w:rsidR="00A9329C" w:rsidRPr="00BA6026" w:rsidRDefault="00A9329C">
            <w:pPr>
              <w:numPr>
                <w:ilvl w:val="0"/>
                <w:numId w:val="24"/>
              </w:numPr>
              <w:jc w:val="both"/>
              <w:rPr>
                <w:rFonts w:ascii="Arial" w:hAnsi="Arial" w:cs="Arial"/>
              </w:rPr>
            </w:pPr>
            <w:r w:rsidRPr="00BA6026">
              <w:rPr>
                <w:rFonts w:ascii="Arial" w:hAnsi="Arial" w:cs="Arial"/>
              </w:rPr>
              <w:t>Inform specialist or GP of any other medication being taken, including over-the-counter products.</w:t>
            </w:r>
          </w:p>
        </w:tc>
      </w:tr>
      <w:tr w:rsidR="00A9329C" w:rsidRPr="00BA6026" w14:paraId="580540C4" w14:textId="77777777" w:rsidTr="00B77271">
        <w:trPr>
          <w:trHeight w:val="240"/>
        </w:trPr>
        <w:tc>
          <w:tcPr>
            <w:tcW w:w="9781" w:type="dxa"/>
            <w:tcBorders>
              <w:top w:val="nil"/>
              <w:left w:val="single" w:sz="4" w:space="0" w:color="auto"/>
              <w:bottom w:val="single" w:sz="4" w:space="0" w:color="auto"/>
              <w:right w:val="single" w:sz="4" w:space="0" w:color="auto"/>
            </w:tcBorders>
          </w:tcPr>
          <w:p w14:paraId="5321783F" w14:textId="31F8E4D9" w:rsidR="00A9329C" w:rsidRDefault="00A9329C" w:rsidP="006A2D0C">
            <w:pPr>
              <w:numPr>
                <w:ilvl w:val="0"/>
                <w:numId w:val="24"/>
              </w:numPr>
              <w:jc w:val="both"/>
              <w:rPr>
                <w:rFonts w:ascii="Arial" w:hAnsi="Arial" w:cs="Arial"/>
              </w:rPr>
            </w:pPr>
            <w:r w:rsidRPr="00BA6026">
              <w:rPr>
                <w:rFonts w:ascii="Arial" w:hAnsi="Arial" w:cs="Arial"/>
              </w:rPr>
              <w:t xml:space="preserve">Report any other adverse effects or warning symptoms to the specialist or GP whilst </w:t>
            </w:r>
            <w:r w:rsidR="006A2D0C">
              <w:rPr>
                <w:rFonts w:ascii="Arial" w:hAnsi="Arial" w:cs="Arial"/>
              </w:rPr>
              <w:t>receiving</w:t>
            </w:r>
            <w:r w:rsidRPr="00BA6026">
              <w:rPr>
                <w:rFonts w:ascii="Arial" w:hAnsi="Arial" w:cs="Arial"/>
              </w:rPr>
              <w:t xml:space="preserve"> </w:t>
            </w:r>
            <w:r w:rsidR="00256A1B">
              <w:rPr>
                <w:rFonts w:ascii="Arial" w:hAnsi="Arial" w:cs="Arial"/>
              </w:rPr>
              <w:t>denosumab.</w:t>
            </w:r>
            <w:r w:rsidR="00B77271">
              <w:rPr>
                <w:rFonts w:ascii="Arial" w:hAnsi="Arial" w:cs="Arial"/>
              </w:rPr>
              <w:t xml:space="preserve">  Especially, any signs o</w:t>
            </w:r>
            <w:r w:rsidR="005D129F">
              <w:rPr>
                <w:rFonts w:ascii="Arial" w:hAnsi="Arial" w:cs="Arial"/>
              </w:rPr>
              <w:t>r</w:t>
            </w:r>
            <w:r w:rsidR="00B77271">
              <w:rPr>
                <w:rFonts w:ascii="Arial" w:hAnsi="Arial" w:cs="Arial"/>
              </w:rPr>
              <w:t xml:space="preserve"> symptoms of cellulitis, any unusual groin, hip or thigh pain, or chronic ear infections</w:t>
            </w:r>
            <w:r w:rsidR="005D129F">
              <w:rPr>
                <w:rFonts w:ascii="Arial" w:hAnsi="Arial" w:cs="Arial"/>
              </w:rPr>
              <w:t xml:space="preserve"> (further details on page 2)</w:t>
            </w:r>
            <w:r w:rsidR="00B77271">
              <w:rPr>
                <w:rFonts w:ascii="Arial" w:hAnsi="Arial" w:cs="Arial"/>
              </w:rPr>
              <w:t>.</w:t>
            </w:r>
          </w:p>
          <w:p w14:paraId="706118E7" w14:textId="1674EA34" w:rsidR="000970BB" w:rsidRPr="00BA6026" w:rsidRDefault="000970BB" w:rsidP="00B77271">
            <w:pPr>
              <w:numPr>
                <w:ilvl w:val="0"/>
                <w:numId w:val="24"/>
              </w:numPr>
              <w:jc w:val="both"/>
              <w:rPr>
                <w:rFonts w:ascii="Arial" w:hAnsi="Arial" w:cs="Arial"/>
              </w:rPr>
            </w:pPr>
            <w:r>
              <w:rPr>
                <w:rFonts w:ascii="Arial" w:hAnsi="Arial" w:cs="Arial"/>
              </w:rPr>
              <w:t xml:space="preserve">Maintain good oral hygiene, with regular dental review if appropriate.  Inform dentist that </w:t>
            </w:r>
            <w:r w:rsidR="00B77271">
              <w:rPr>
                <w:rFonts w:ascii="Arial" w:hAnsi="Arial" w:cs="Arial"/>
              </w:rPr>
              <w:t xml:space="preserve">denosumab treatment </w:t>
            </w:r>
            <w:proofErr w:type="gramStart"/>
            <w:r w:rsidR="00B77271">
              <w:rPr>
                <w:rFonts w:ascii="Arial" w:hAnsi="Arial" w:cs="Arial"/>
              </w:rPr>
              <w:t>has been received</w:t>
            </w:r>
            <w:proofErr w:type="gramEnd"/>
            <w:r w:rsidR="00B77271">
              <w:rPr>
                <w:rFonts w:ascii="Arial" w:hAnsi="Arial" w:cs="Arial"/>
              </w:rPr>
              <w:t xml:space="preserve">. </w:t>
            </w:r>
          </w:p>
        </w:tc>
      </w:tr>
    </w:tbl>
    <w:p w14:paraId="5C9279CA" w14:textId="77777777" w:rsidR="00A9329C" w:rsidRPr="00612F76" w:rsidRDefault="00A9329C">
      <w:pPr>
        <w:jc w:val="both"/>
        <w:rPr>
          <w:rFonts w:ascii="Arial" w:hAnsi="Arial" w:cs="Arial"/>
          <w:sz w:val="2"/>
        </w:rPr>
      </w:pPr>
    </w:p>
    <w:p w14:paraId="7A572B5F" w14:textId="77777777" w:rsidR="00A9329C" w:rsidRPr="00BA6026" w:rsidRDefault="00A9329C">
      <w:pPr>
        <w:spacing w:after="120"/>
        <w:jc w:val="both"/>
        <w:outlineLvl w:val="4"/>
        <w:rPr>
          <w:rFonts w:ascii="Arial" w:hAnsi="Arial" w:cs="Arial"/>
          <w:b/>
          <w:sz w:val="22"/>
        </w:rPr>
      </w:pPr>
      <w:r w:rsidRPr="00BA6026">
        <w:rPr>
          <w:rFonts w:ascii="Arial" w:hAnsi="Arial" w:cs="Arial"/>
        </w:rPr>
        <w:br w:type="page"/>
      </w:r>
      <w:r w:rsidRPr="00BA6026">
        <w:rPr>
          <w:rFonts w:ascii="Arial" w:hAnsi="Arial" w:cs="Arial"/>
          <w:b/>
          <w:sz w:val="22"/>
        </w:rPr>
        <w:lastRenderedPageBreak/>
        <w:t>SUPPORTING INFORMATION</w:t>
      </w:r>
    </w:p>
    <w:p w14:paraId="7D27D86A" w14:textId="77777777" w:rsidR="0009748E" w:rsidRDefault="0009748E" w:rsidP="00BA6026">
      <w:pPr>
        <w:rPr>
          <w:rFonts w:ascii="Arial" w:hAnsi="Arial" w:cs="Arial"/>
          <w:b/>
          <w:sz w:val="22"/>
        </w:rPr>
      </w:pPr>
      <w:r>
        <w:rPr>
          <w:rFonts w:ascii="Arial" w:hAnsi="Arial" w:cs="Arial"/>
          <w:b/>
          <w:sz w:val="22"/>
        </w:rPr>
        <w:t>NICE guidance</w:t>
      </w:r>
      <w:r w:rsidR="006A2D0C">
        <w:rPr>
          <w:rFonts w:ascii="Arial" w:hAnsi="Arial" w:cs="Arial"/>
          <w:b/>
          <w:sz w:val="22"/>
        </w:rPr>
        <w:t xml:space="preserve"> (TA204)</w:t>
      </w:r>
    </w:p>
    <w:p w14:paraId="7CA652EA" w14:textId="24D3F34A" w:rsidR="006A2D0C" w:rsidRDefault="00D0456F" w:rsidP="00C16DD8">
      <w:pPr>
        <w:spacing w:after="120"/>
        <w:jc w:val="both"/>
        <w:rPr>
          <w:rFonts w:ascii="Arial" w:hAnsi="Arial" w:cs="Arial"/>
          <w:color w:val="000000"/>
        </w:rPr>
      </w:pPr>
      <w:r>
        <w:rPr>
          <w:rFonts w:ascii="Arial" w:hAnsi="Arial" w:cs="Arial"/>
          <w:color w:val="000000"/>
        </w:rPr>
        <w:t>F</w:t>
      </w:r>
      <w:r w:rsidR="006A2D0C" w:rsidRPr="00A46544">
        <w:rPr>
          <w:rFonts w:ascii="Arial" w:hAnsi="Arial" w:cs="Arial"/>
          <w:color w:val="000000"/>
        </w:rPr>
        <w:t xml:space="preserve">or </w:t>
      </w:r>
      <w:r w:rsidR="006A2D0C" w:rsidRPr="00A46544">
        <w:rPr>
          <w:rFonts w:ascii="Arial" w:hAnsi="Arial" w:cs="Arial"/>
          <w:b/>
          <w:color w:val="000000"/>
        </w:rPr>
        <w:t>primary prevention</w:t>
      </w:r>
      <w:r w:rsidR="006A2D0C" w:rsidRPr="00A46544">
        <w:rPr>
          <w:rFonts w:ascii="Arial" w:hAnsi="Arial" w:cs="Arial"/>
          <w:color w:val="000000"/>
        </w:rPr>
        <w:t xml:space="preserve"> of osteoporosis, denosumab is an option in women for whom alendronate</w:t>
      </w:r>
      <w:r w:rsidR="0046276F">
        <w:rPr>
          <w:rFonts w:ascii="Arial" w:hAnsi="Arial" w:cs="Arial"/>
          <w:color w:val="000000"/>
        </w:rPr>
        <w:t xml:space="preserve"> or</w:t>
      </w:r>
      <w:r w:rsidR="006A2D0C" w:rsidRPr="00A46544">
        <w:rPr>
          <w:rFonts w:ascii="Arial" w:hAnsi="Arial" w:cs="Arial"/>
          <w:color w:val="000000"/>
        </w:rPr>
        <w:t xml:space="preserve"> risedronate</w:t>
      </w:r>
      <w:r w:rsidR="00A46544">
        <w:rPr>
          <w:rFonts w:ascii="Arial" w:hAnsi="Arial" w:cs="Arial"/>
          <w:color w:val="000000"/>
        </w:rPr>
        <w:t xml:space="preserve"> </w:t>
      </w:r>
      <w:r w:rsidR="006A2D0C" w:rsidRPr="00A46544">
        <w:rPr>
          <w:rFonts w:ascii="Arial" w:hAnsi="Arial" w:cs="Arial"/>
          <w:color w:val="000000"/>
        </w:rPr>
        <w:t xml:space="preserve">are unsuitable </w:t>
      </w:r>
      <w:r w:rsidR="006A2D0C" w:rsidRPr="00A46544">
        <w:rPr>
          <w:rFonts w:ascii="Arial" w:hAnsi="Arial" w:cs="Arial"/>
          <w:b/>
          <w:color w:val="000000"/>
        </w:rPr>
        <w:t xml:space="preserve">and </w:t>
      </w:r>
      <w:r w:rsidR="006A2D0C" w:rsidRPr="00A46544">
        <w:rPr>
          <w:rFonts w:ascii="Arial" w:hAnsi="Arial" w:cs="Arial"/>
          <w:color w:val="000000"/>
        </w:rPr>
        <w:t>who have an appropriate combination of T-score</w:t>
      </w:r>
      <w:r w:rsidR="00A46544">
        <w:rPr>
          <w:rFonts w:ascii="Arial" w:hAnsi="Arial" w:cs="Arial"/>
          <w:color w:val="000000"/>
        </w:rPr>
        <w:t>, age</w:t>
      </w:r>
      <w:r w:rsidR="006A2D0C" w:rsidRPr="00A46544">
        <w:rPr>
          <w:rFonts w:ascii="Arial" w:hAnsi="Arial" w:cs="Arial"/>
          <w:color w:val="000000"/>
        </w:rPr>
        <w:t xml:space="preserve"> and independent clinical risk factors for fracture (parental history of hip fracture, alcohol intake of 4 or more units per day, or rheumatoid arthritis).  As </w:t>
      </w:r>
      <w:r w:rsidR="006A2D0C" w:rsidRPr="00A46544">
        <w:rPr>
          <w:rFonts w:ascii="Arial" w:hAnsi="Arial" w:cs="Arial"/>
          <w:b/>
          <w:color w:val="000000"/>
        </w:rPr>
        <w:t>secondary prevention</w:t>
      </w:r>
      <w:r w:rsidR="006A2D0C" w:rsidRPr="00A46544">
        <w:rPr>
          <w:rFonts w:ascii="Arial" w:hAnsi="Arial" w:cs="Arial"/>
          <w:color w:val="000000"/>
        </w:rPr>
        <w:t>, denosumab is recommended as a treatment option in women at increased risk of fractures if</w:t>
      </w:r>
      <w:r>
        <w:rPr>
          <w:rFonts w:ascii="Arial" w:hAnsi="Arial" w:cs="Arial"/>
          <w:color w:val="000000"/>
        </w:rPr>
        <w:t xml:space="preserve"> alendronate</w:t>
      </w:r>
      <w:r w:rsidR="006A2D0C" w:rsidRPr="00776600">
        <w:rPr>
          <w:rFonts w:ascii="Arial" w:hAnsi="Arial" w:cs="Arial"/>
          <w:color w:val="000000"/>
        </w:rPr>
        <w:t xml:space="preserve"> or</w:t>
      </w:r>
      <w:r w:rsidR="006A2D0C" w:rsidRPr="00A46544">
        <w:rPr>
          <w:rFonts w:ascii="Arial" w:hAnsi="Arial" w:cs="Arial"/>
          <w:color w:val="000000"/>
        </w:rPr>
        <w:t xml:space="preserve"> risedronate</w:t>
      </w:r>
      <w:r>
        <w:rPr>
          <w:rFonts w:ascii="Arial" w:hAnsi="Arial" w:cs="Arial"/>
          <w:color w:val="000000"/>
        </w:rPr>
        <w:t xml:space="preserve"> </w:t>
      </w:r>
      <w:r w:rsidR="006A2D0C" w:rsidRPr="00A46544">
        <w:rPr>
          <w:rFonts w:ascii="Arial" w:hAnsi="Arial" w:cs="Arial"/>
          <w:color w:val="000000"/>
        </w:rPr>
        <w:t>are unsuitable.</w:t>
      </w:r>
      <w:r w:rsidR="006A2D0C">
        <w:rPr>
          <w:rFonts w:ascii="Arial" w:hAnsi="Arial" w:cs="Arial"/>
          <w:color w:val="000000"/>
        </w:rPr>
        <w:t xml:space="preserve"> </w:t>
      </w:r>
    </w:p>
    <w:p w14:paraId="13C7D751" w14:textId="77777777" w:rsidR="00A9329C" w:rsidRPr="00BA6026" w:rsidRDefault="00A9329C" w:rsidP="00C16DD8">
      <w:pPr>
        <w:jc w:val="both"/>
        <w:rPr>
          <w:rFonts w:ascii="Arial" w:hAnsi="Arial" w:cs="Arial"/>
          <w:b/>
          <w:sz w:val="22"/>
        </w:rPr>
      </w:pPr>
      <w:r w:rsidRPr="00BA6026">
        <w:rPr>
          <w:rFonts w:ascii="Arial" w:hAnsi="Arial" w:cs="Arial"/>
          <w:b/>
          <w:sz w:val="22"/>
        </w:rPr>
        <w:t>Licensed indications</w:t>
      </w:r>
    </w:p>
    <w:p w14:paraId="749BFF16" w14:textId="01136213" w:rsidR="00A9329C" w:rsidRPr="00BA6026" w:rsidRDefault="000970BB" w:rsidP="00C16DD8">
      <w:pPr>
        <w:spacing w:after="120"/>
        <w:jc w:val="both"/>
        <w:outlineLvl w:val="4"/>
        <w:rPr>
          <w:rFonts w:ascii="Arial" w:hAnsi="Arial" w:cs="Arial"/>
        </w:rPr>
      </w:pPr>
      <w:r>
        <w:rPr>
          <w:rFonts w:ascii="Arial" w:hAnsi="Arial" w:cs="Arial"/>
        </w:rPr>
        <w:t xml:space="preserve">Denosumab </w:t>
      </w:r>
      <w:proofErr w:type="gramStart"/>
      <w:r>
        <w:rPr>
          <w:rFonts w:ascii="Arial" w:hAnsi="Arial" w:cs="Arial"/>
        </w:rPr>
        <w:t>is licensed</w:t>
      </w:r>
      <w:proofErr w:type="gramEnd"/>
      <w:r w:rsidR="00E925C6" w:rsidRPr="00BA6026">
        <w:rPr>
          <w:rFonts w:ascii="Arial" w:hAnsi="Arial" w:cs="Arial"/>
        </w:rPr>
        <w:t xml:space="preserve"> </w:t>
      </w:r>
      <w:r w:rsidRPr="00B74AD2">
        <w:rPr>
          <w:rFonts w:cs="Frutiger-Roman"/>
          <w:lang w:val="en-US"/>
        </w:rPr>
        <w:t>for the treatment of osteoporosis in postmenopausal women</w:t>
      </w:r>
      <w:r>
        <w:rPr>
          <w:rFonts w:cs="Frutiger-Roman"/>
          <w:lang w:val="en-US"/>
        </w:rPr>
        <w:t>,</w:t>
      </w:r>
      <w:r w:rsidRPr="00B74AD2">
        <w:rPr>
          <w:rFonts w:cs="Frutiger-Roman"/>
          <w:lang w:val="en-US"/>
        </w:rPr>
        <w:t xml:space="preserve"> and in men at increased risk of fractures.  In postmenopausal women, denosumab significantly reduces the risk of vertebral, non-vert</w:t>
      </w:r>
      <w:r>
        <w:rPr>
          <w:rFonts w:cs="Frutiger-Roman"/>
          <w:lang w:val="en-US"/>
        </w:rPr>
        <w:t>ebral and hip fractures.</w:t>
      </w:r>
    </w:p>
    <w:p w14:paraId="1F95E5D5" w14:textId="77777777" w:rsidR="00A9329C" w:rsidRPr="00BA6026" w:rsidRDefault="00A9329C" w:rsidP="00C16DD8">
      <w:pPr>
        <w:jc w:val="both"/>
        <w:rPr>
          <w:rFonts w:ascii="Arial" w:hAnsi="Arial" w:cs="Arial"/>
          <w:b/>
          <w:sz w:val="22"/>
        </w:rPr>
      </w:pPr>
      <w:r w:rsidRPr="00BA6026">
        <w:rPr>
          <w:rFonts w:ascii="Arial" w:hAnsi="Arial" w:cs="Arial"/>
          <w:b/>
          <w:sz w:val="22"/>
        </w:rPr>
        <w:t>Dosage and Administration</w:t>
      </w:r>
    </w:p>
    <w:p w14:paraId="549ED300" w14:textId="77777777" w:rsidR="00E925C6" w:rsidRPr="00BA6026" w:rsidRDefault="00E925C6" w:rsidP="00C16DD8">
      <w:pPr>
        <w:pStyle w:val="mtrachead5"/>
        <w:spacing w:after="60"/>
        <w:rPr>
          <w:rFonts w:ascii="Arial" w:hAnsi="Arial" w:cs="Arial"/>
          <w:snapToGrid/>
        </w:rPr>
      </w:pPr>
      <w:r w:rsidRPr="00BA6026">
        <w:rPr>
          <w:rFonts w:ascii="Arial" w:hAnsi="Arial" w:cs="Arial"/>
          <w:snapToGrid/>
        </w:rPr>
        <w:t>The recommended dose of denosumab is 60 mg administered as a single subcutaneous injection once every 6 months into the thigh, abdomen or upper arm.</w:t>
      </w:r>
    </w:p>
    <w:p w14:paraId="6C1190CC" w14:textId="77777777" w:rsidR="00E925C6" w:rsidRPr="00BA6026" w:rsidRDefault="00E925C6" w:rsidP="00C16DD8">
      <w:pPr>
        <w:pStyle w:val="mtrachead5"/>
        <w:spacing w:after="60"/>
        <w:rPr>
          <w:rFonts w:ascii="Arial" w:hAnsi="Arial" w:cs="Arial"/>
          <w:i/>
          <w:snapToGrid/>
        </w:rPr>
      </w:pPr>
      <w:r w:rsidRPr="00BA6026">
        <w:rPr>
          <w:rFonts w:ascii="Arial" w:hAnsi="Arial" w:cs="Arial"/>
          <w:i/>
          <w:snapToGrid/>
        </w:rPr>
        <w:t>Patients must be adequately supplemented with calcium and vitamin D.</w:t>
      </w:r>
    </w:p>
    <w:p w14:paraId="78ECCE3A" w14:textId="799BBD2E" w:rsidR="00A9329C" w:rsidRPr="00BA6026" w:rsidRDefault="00E925C6" w:rsidP="00C16DD8">
      <w:pPr>
        <w:pStyle w:val="mtrachead5"/>
        <w:numPr>
          <w:ilvl w:val="0"/>
          <w:numId w:val="0"/>
        </w:numPr>
        <w:spacing w:after="120"/>
        <w:rPr>
          <w:rFonts w:ascii="Arial" w:hAnsi="Arial" w:cs="Arial"/>
          <w:snapToGrid/>
        </w:rPr>
      </w:pPr>
      <w:r w:rsidRPr="00BA6026">
        <w:rPr>
          <w:rFonts w:ascii="Arial" w:hAnsi="Arial" w:cs="Arial"/>
          <w:snapToGrid/>
        </w:rPr>
        <w:t xml:space="preserve">No dose adjustment is required in elderly patients, or in those with renal impairment.  Denosumab </w:t>
      </w:r>
      <w:proofErr w:type="gramStart"/>
      <w:r w:rsidRPr="00BA6026">
        <w:rPr>
          <w:rFonts w:ascii="Arial" w:hAnsi="Arial" w:cs="Arial"/>
          <w:snapToGrid/>
        </w:rPr>
        <w:t>has not been tested</w:t>
      </w:r>
      <w:proofErr w:type="gramEnd"/>
      <w:r w:rsidRPr="00BA6026">
        <w:rPr>
          <w:rFonts w:ascii="Arial" w:hAnsi="Arial" w:cs="Arial"/>
          <w:snapToGrid/>
        </w:rPr>
        <w:t xml:space="preserve"> in patients with hepatic impairment.</w:t>
      </w:r>
      <w:r w:rsidR="000970BB">
        <w:rPr>
          <w:rFonts w:ascii="Arial" w:hAnsi="Arial" w:cs="Arial"/>
          <w:snapToGrid/>
        </w:rPr>
        <w:t xml:space="preserve">  </w:t>
      </w:r>
      <w:r w:rsidR="000970BB" w:rsidRPr="00B74AD2">
        <w:rPr>
          <w:rFonts w:cs="Frutiger-Roman"/>
          <w:lang w:val="en-US"/>
        </w:rPr>
        <w:t xml:space="preserve">The need for continued treatment should be re-evaluated periodically based on the benefits and potential risks of denosumab on an individual patient basis, particularly after </w:t>
      </w:r>
      <w:r w:rsidR="000970BB">
        <w:rPr>
          <w:rFonts w:cs="Frutiger-Roman"/>
          <w:lang w:val="en-US"/>
        </w:rPr>
        <w:t>five</w:t>
      </w:r>
      <w:r w:rsidR="000970BB" w:rsidRPr="00B74AD2">
        <w:rPr>
          <w:rFonts w:cs="Frutiger-Roman"/>
          <w:lang w:val="en-US"/>
        </w:rPr>
        <w:t xml:space="preserve"> or more years of use</w:t>
      </w:r>
      <w:r w:rsidR="000970BB">
        <w:rPr>
          <w:rFonts w:cs="Frutiger-Roman"/>
          <w:lang w:val="en-US"/>
        </w:rPr>
        <w:t>.</w:t>
      </w:r>
    </w:p>
    <w:p w14:paraId="2FB08B78" w14:textId="77777777" w:rsidR="00A9329C" w:rsidRPr="00BA6026" w:rsidRDefault="00A9329C" w:rsidP="00C16DD8">
      <w:pPr>
        <w:jc w:val="both"/>
        <w:rPr>
          <w:rFonts w:ascii="Arial" w:hAnsi="Arial" w:cs="Arial"/>
          <w:b/>
          <w:sz w:val="22"/>
        </w:rPr>
      </w:pPr>
      <w:r w:rsidRPr="00BA6026">
        <w:rPr>
          <w:rFonts w:ascii="Arial" w:hAnsi="Arial" w:cs="Arial"/>
          <w:b/>
          <w:sz w:val="22"/>
        </w:rPr>
        <w:t>Contraindications and cautions for use</w:t>
      </w:r>
    </w:p>
    <w:p w14:paraId="22E352F0" w14:textId="77777777" w:rsidR="00A9329C" w:rsidRPr="00BA6026" w:rsidRDefault="00D56E44" w:rsidP="00C16DD8">
      <w:pPr>
        <w:pStyle w:val="mtrachead5"/>
        <w:spacing w:after="60"/>
        <w:rPr>
          <w:rFonts w:ascii="Arial" w:hAnsi="Arial" w:cs="Arial"/>
          <w:snapToGrid/>
        </w:rPr>
      </w:pPr>
      <w:r w:rsidRPr="00BA6026">
        <w:rPr>
          <w:rFonts w:ascii="Arial" w:hAnsi="Arial" w:cs="Arial"/>
        </w:rPr>
        <w:t>Denosumab</w:t>
      </w:r>
      <w:r w:rsidR="00A9329C" w:rsidRPr="00BA6026">
        <w:rPr>
          <w:rFonts w:ascii="Arial" w:hAnsi="Arial" w:cs="Arial"/>
        </w:rPr>
        <w:t xml:space="preserve"> is contraindicated in patients with hypersensitivity to </w:t>
      </w:r>
      <w:r w:rsidRPr="00BA6026">
        <w:rPr>
          <w:rFonts w:ascii="Arial" w:hAnsi="Arial" w:cs="Arial"/>
        </w:rPr>
        <w:t>denosumab</w:t>
      </w:r>
      <w:r w:rsidR="00A9329C" w:rsidRPr="00BA6026">
        <w:rPr>
          <w:rFonts w:ascii="Arial" w:hAnsi="Arial" w:cs="Arial"/>
        </w:rPr>
        <w:t xml:space="preserve"> or to any of the excipients.  </w:t>
      </w:r>
      <w:r w:rsidR="00A9329C" w:rsidRPr="00BA6026">
        <w:rPr>
          <w:rFonts w:ascii="Arial" w:hAnsi="Arial" w:cs="Arial"/>
          <w:snapToGrid/>
        </w:rPr>
        <w:t>Caution is advised in patients with known hypersensitivity to other bisphosphonates.</w:t>
      </w:r>
    </w:p>
    <w:p w14:paraId="05F17A96" w14:textId="2999DAC8" w:rsidR="00470202" w:rsidRPr="009810B8" w:rsidRDefault="00AD6B66" w:rsidP="00C16DD8">
      <w:pPr>
        <w:spacing w:after="80"/>
        <w:jc w:val="both"/>
        <w:rPr>
          <w:rFonts w:ascii="Arial" w:hAnsi="Arial" w:cs="Arial"/>
        </w:rPr>
      </w:pPr>
      <w:r w:rsidRPr="0046276F">
        <w:rPr>
          <w:rFonts w:ascii="Arial" w:hAnsi="Arial"/>
          <w:i/>
          <w:u w:val="single"/>
        </w:rPr>
        <w:t>Hypocalcaemia</w:t>
      </w:r>
      <w:r w:rsidR="00C37E82" w:rsidRPr="0046276F">
        <w:rPr>
          <w:rFonts w:ascii="Arial" w:hAnsi="Arial"/>
          <w:i/>
          <w:u w:val="single"/>
        </w:rPr>
        <w:t xml:space="preserve"> (MHRA guidance available; see references)</w:t>
      </w:r>
      <w:r w:rsidRPr="0046276F">
        <w:rPr>
          <w:rFonts w:ascii="Arial" w:hAnsi="Arial"/>
          <w:i/>
          <w:u w:val="single"/>
        </w:rPr>
        <w:t>:</w:t>
      </w:r>
      <w:r>
        <w:rPr>
          <w:rFonts w:ascii="Arial" w:hAnsi="Arial" w:cs="Arial"/>
          <w:i/>
        </w:rPr>
        <w:t xml:space="preserve"> </w:t>
      </w:r>
      <w:r w:rsidR="00470202" w:rsidRPr="00BA6026">
        <w:rPr>
          <w:rFonts w:ascii="Arial" w:hAnsi="Arial" w:cs="Arial"/>
        </w:rPr>
        <w:t xml:space="preserve">must be corrected by an adequate intake of calcium and vitamin D before initiating therapy with denosumab.  Patients with severe renal impairment (creatinine clearance &lt; 30 ml/min) or receiving dialysis are at greater risk of developing hypocalcaemia. Clinical monitoring of calcium levels </w:t>
      </w:r>
      <w:proofErr w:type="gramStart"/>
      <w:r w:rsidR="00470202" w:rsidRPr="00BA6026">
        <w:rPr>
          <w:rFonts w:ascii="Arial" w:hAnsi="Arial" w:cs="Arial"/>
        </w:rPr>
        <w:t>is recommended</w:t>
      </w:r>
      <w:proofErr w:type="gramEnd"/>
      <w:r w:rsidR="00470202" w:rsidRPr="00BA6026">
        <w:rPr>
          <w:rFonts w:ascii="Arial" w:hAnsi="Arial" w:cs="Arial"/>
        </w:rPr>
        <w:t xml:space="preserve"> for patients predisposed to hypocalcaemia</w:t>
      </w:r>
      <w:r w:rsidR="00740AAB" w:rsidRPr="009810B8">
        <w:rPr>
          <w:rFonts w:ascii="Arial" w:hAnsi="Arial" w:cs="Arial"/>
        </w:rPr>
        <w:t>.</w:t>
      </w:r>
      <w:r w:rsidR="009810B8" w:rsidRPr="009810B8">
        <w:rPr>
          <w:rFonts w:ascii="Arial" w:hAnsi="Arial" w:cs="Arial"/>
        </w:rPr>
        <w:t xml:space="preserve">  </w:t>
      </w:r>
      <w:r w:rsidR="009810B8">
        <w:rPr>
          <w:rFonts w:ascii="Arial" w:hAnsi="Arial" w:cs="Arial"/>
        </w:rPr>
        <w:t xml:space="preserve">According to the </w:t>
      </w:r>
      <w:proofErr w:type="gramStart"/>
      <w:r w:rsidR="009810B8">
        <w:rPr>
          <w:rFonts w:ascii="Arial" w:hAnsi="Arial" w:cs="Arial"/>
        </w:rPr>
        <w:t>SPC</w:t>
      </w:r>
      <w:proofErr w:type="gramEnd"/>
      <w:r w:rsidR="009810B8">
        <w:rPr>
          <w:rFonts w:ascii="Arial" w:hAnsi="Arial" w:cs="Arial"/>
        </w:rPr>
        <w:t xml:space="preserve"> c</w:t>
      </w:r>
      <w:r w:rsidR="009810B8" w:rsidRPr="009810B8">
        <w:rPr>
          <w:rFonts w:ascii="Arial" w:hAnsi="Arial" w:cs="Arial"/>
          <w:color w:val="000000"/>
          <w:shd w:val="clear" w:color="auto" w:fill="FFFFFF"/>
        </w:rPr>
        <w:t>oncomitant glucocorticoid treatment is an additional risk factor for hypocalcaemia.</w:t>
      </w:r>
    </w:p>
    <w:p w14:paraId="1BF88537" w14:textId="78B0544E" w:rsidR="00D56E44" w:rsidRPr="00BA6026" w:rsidRDefault="00D56E44" w:rsidP="00C16DD8">
      <w:pPr>
        <w:spacing w:after="60"/>
        <w:jc w:val="both"/>
        <w:rPr>
          <w:rFonts w:ascii="Arial" w:hAnsi="Arial" w:cs="Arial"/>
        </w:rPr>
      </w:pPr>
      <w:r w:rsidRPr="0046276F">
        <w:rPr>
          <w:rFonts w:ascii="Arial" w:hAnsi="Arial"/>
          <w:i/>
          <w:u w:val="single"/>
        </w:rPr>
        <w:t>Skin Infections</w:t>
      </w:r>
      <w:r w:rsidR="00FB303B" w:rsidRPr="0046276F">
        <w:rPr>
          <w:rFonts w:ascii="Arial" w:hAnsi="Arial"/>
          <w:i/>
          <w:u w:val="single"/>
        </w:rPr>
        <w:t xml:space="preserve"> (cellulitis leading to hospitalisation)</w:t>
      </w:r>
      <w:r w:rsidRPr="0046276F">
        <w:rPr>
          <w:rFonts w:ascii="Arial" w:hAnsi="Arial"/>
          <w:i/>
          <w:u w:val="single"/>
        </w:rPr>
        <w:t>:</w:t>
      </w:r>
      <w:r w:rsidRPr="00BA6026">
        <w:rPr>
          <w:rFonts w:ascii="Arial" w:hAnsi="Arial" w:cs="Arial"/>
          <w:i/>
        </w:rPr>
        <w:t xml:space="preserve"> </w:t>
      </w:r>
      <w:r w:rsidR="00B77271" w:rsidRPr="00B77271">
        <w:rPr>
          <w:rFonts w:ascii="Arial" w:hAnsi="Arial" w:cs="Arial"/>
        </w:rPr>
        <w:t>Signs and symptoms include</w:t>
      </w:r>
      <w:r w:rsidR="00FB303B" w:rsidRPr="00B77271">
        <w:rPr>
          <w:rFonts w:ascii="Arial" w:hAnsi="Arial" w:cs="Arial"/>
        </w:rPr>
        <w:t>:</w:t>
      </w:r>
      <w:r w:rsidR="00FB303B">
        <w:rPr>
          <w:rFonts w:ascii="Arial" w:hAnsi="Arial" w:cs="Arial"/>
        </w:rPr>
        <w:t xml:space="preserve"> red, painful, hot, swollen and tender skin that spreads rapidly, that may be accom</w:t>
      </w:r>
      <w:r w:rsidR="00256A1B">
        <w:rPr>
          <w:rFonts w:ascii="Arial" w:hAnsi="Arial" w:cs="Arial"/>
        </w:rPr>
        <w:t>panied or preceded by</w:t>
      </w:r>
      <w:r w:rsidR="00AD6B66">
        <w:rPr>
          <w:rFonts w:ascii="Arial" w:hAnsi="Arial" w:cs="Arial"/>
        </w:rPr>
        <w:t xml:space="preserve"> </w:t>
      </w:r>
      <w:r w:rsidR="00FB303B">
        <w:rPr>
          <w:rFonts w:ascii="Arial" w:hAnsi="Arial" w:cs="Arial"/>
        </w:rPr>
        <w:t>f</w:t>
      </w:r>
      <w:r w:rsidR="00FB303B" w:rsidRPr="00FB303B">
        <w:rPr>
          <w:rFonts w:ascii="Arial" w:hAnsi="Arial" w:cs="Arial"/>
        </w:rPr>
        <w:t>ever, malaise, nausea, shivering, and rigors</w:t>
      </w:r>
      <w:r w:rsidRPr="00BA6026">
        <w:rPr>
          <w:rFonts w:ascii="Arial" w:hAnsi="Arial" w:cs="Arial"/>
        </w:rPr>
        <w:t>.</w:t>
      </w:r>
    </w:p>
    <w:p w14:paraId="281B55B7" w14:textId="1F9F239B" w:rsidR="00FB303B" w:rsidRDefault="00D56E44" w:rsidP="00C16DD8">
      <w:pPr>
        <w:spacing w:after="60"/>
        <w:jc w:val="both"/>
        <w:rPr>
          <w:rFonts w:ascii="Arial" w:hAnsi="Arial" w:cs="Arial"/>
        </w:rPr>
      </w:pPr>
      <w:r w:rsidRPr="0046276F">
        <w:rPr>
          <w:rFonts w:ascii="Arial" w:hAnsi="Arial"/>
          <w:i/>
          <w:u w:val="single"/>
        </w:rPr>
        <w:t>Osteonecrosis of the Jaw (ONJ)</w:t>
      </w:r>
      <w:r w:rsidRPr="0046276F">
        <w:rPr>
          <w:rFonts w:ascii="Arial" w:hAnsi="Arial"/>
          <w:u w:val="single"/>
        </w:rPr>
        <w:t>:</w:t>
      </w:r>
      <w:r w:rsidRPr="00BA6026">
        <w:rPr>
          <w:rFonts w:ascii="Arial" w:hAnsi="Arial" w:cs="Arial"/>
        </w:rPr>
        <w:t xml:space="preserve"> has been reported</w:t>
      </w:r>
      <w:r w:rsidR="00FB303B">
        <w:rPr>
          <w:rFonts w:ascii="Arial" w:hAnsi="Arial" w:cs="Arial"/>
        </w:rPr>
        <w:t xml:space="preserve"> with</w:t>
      </w:r>
      <w:r w:rsidRPr="00BA6026">
        <w:rPr>
          <w:rFonts w:ascii="Arial" w:hAnsi="Arial" w:cs="Arial"/>
        </w:rPr>
        <w:t xml:space="preserve"> denosumab and bisphosphonate</w:t>
      </w:r>
      <w:r w:rsidR="00FB303B">
        <w:rPr>
          <w:rFonts w:ascii="Arial" w:hAnsi="Arial" w:cs="Arial"/>
        </w:rPr>
        <w:t xml:space="preserve"> treatment</w:t>
      </w:r>
      <w:r w:rsidR="00C37E82">
        <w:rPr>
          <w:rFonts w:ascii="Arial" w:hAnsi="Arial" w:cs="Arial"/>
        </w:rPr>
        <w:t>.</w:t>
      </w:r>
      <w:r w:rsidR="008F5DC2" w:rsidRPr="00BA6026">
        <w:rPr>
          <w:rFonts w:ascii="Arial" w:hAnsi="Arial" w:cs="Arial"/>
        </w:rPr>
        <w:t xml:space="preserve">  </w:t>
      </w:r>
      <w:r w:rsidR="00C37E82" w:rsidRPr="00C37E82">
        <w:rPr>
          <w:rFonts w:ascii="Arial" w:hAnsi="Arial" w:cs="Arial"/>
        </w:rPr>
        <w:t xml:space="preserve">A dental examination with appropriate preventive dentistry </w:t>
      </w:r>
      <w:proofErr w:type="gramStart"/>
      <w:r w:rsidR="00C37E82" w:rsidRPr="00C37E82">
        <w:rPr>
          <w:rFonts w:ascii="Arial" w:hAnsi="Arial" w:cs="Arial"/>
        </w:rPr>
        <w:t>should be considered</w:t>
      </w:r>
      <w:proofErr w:type="gramEnd"/>
      <w:r w:rsidR="00C37E82" w:rsidRPr="00C37E82">
        <w:rPr>
          <w:rFonts w:ascii="Arial" w:hAnsi="Arial" w:cs="Arial"/>
        </w:rPr>
        <w:t xml:space="preserve"> </w:t>
      </w:r>
      <w:r w:rsidR="00C37E82">
        <w:rPr>
          <w:rFonts w:ascii="Arial" w:hAnsi="Arial" w:cs="Arial"/>
        </w:rPr>
        <w:t>before</w:t>
      </w:r>
      <w:r w:rsidR="00C37E82" w:rsidRPr="00C37E82">
        <w:rPr>
          <w:rFonts w:ascii="Arial" w:hAnsi="Arial" w:cs="Arial"/>
        </w:rPr>
        <w:t xml:space="preserve"> treatment with </w:t>
      </w:r>
      <w:r w:rsidR="00C37E82">
        <w:rPr>
          <w:rFonts w:ascii="Arial" w:hAnsi="Arial" w:cs="Arial"/>
        </w:rPr>
        <w:t>denosumab</w:t>
      </w:r>
      <w:r w:rsidR="00C37E82" w:rsidRPr="00C37E82">
        <w:rPr>
          <w:rFonts w:ascii="Arial" w:hAnsi="Arial" w:cs="Arial"/>
        </w:rPr>
        <w:t xml:space="preserve">. </w:t>
      </w:r>
    </w:p>
    <w:p w14:paraId="3BB412F1" w14:textId="64645348" w:rsidR="00D56E44" w:rsidRPr="00BA6026" w:rsidRDefault="00D56E44" w:rsidP="00C16DD8">
      <w:pPr>
        <w:spacing w:after="60"/>
        <w:jc w:val="both"/>
        <w:rPr>
          <w:rFonts w:ascii="Arial" w:hAnsi="Arial" w:cs="Arial"/>
        </w:rPr>
      </w:pPr>
      <w:r w:rsidRPr="0046276F">
        <w:rPr>
          <w:rFonts w:ascii="Arial" w:hAnsi="Arial"/>
          <w:i/>
          <w:u w:val="single"/>
        </w:rPr>
        <w:t>Atypical fractures of the femur</w:t>
      </w:r>
      <w:r w:rsidR="00C37E82" w:rsidRPr="0046276F">
        <w:rPr>
          <w:rFonts w:ascii="Arial" w:hAnsi="Arial"/>
          <w:i/>
          <w:u w:val="single"/>
        </w:rPr>
        <w:t xml:space="preserve"> (see MHRA reference below)</w:t>
      </w:r>
      <w:r w:rsidRPr="0046276F">
        <w:rPr>
          <w:rFonts w:ascii="Arial" w:hAnsi="Arial"/>
          <w:i/>
          <w:u w:val="single"/>
        </w:rPr>
        <w:t>:</w:t>
      </w:r>
      <w:r w:rsidR="00BE7E14">
        <w:rPr>
          <w:rFonts w:ascii="Arial" w:hAnsi="Arial" w:cs="Arial"/>
        </w:rPr>
        <w:t xml:space="preserve"> </w:t>
      </w:r>
      <w:r w:rsidR="00256A1B">
        <w:rPr>
          <w:rFonts w:ascii="Arial" w:hAnsi="Arial" w:cs="Arial"/>
        </w:rPr>
        <w:t xml:space="preserve"> </w:t>
      </w:r>
      <w:r w:rsidR="00C37E82">
        <w:rPr>
          <w:rFonts w:ascii="Arial" w:hAnsi="Arial" w:cs="Arial"/>
        </w:rPr>
        <w:t>D</w:t>
      </w:r>
      <w:r w:rsidRPr="00BA6026">
        <w:rPr>
          <w:rFonts w:ascii="Arial" w:hAnsi="Arial" w:cs="Arial"/>
        </w:rPr>
        <w:t xml:space="preserve">iscontinuation of </w:t>
      </w:r>
      <w:r w:rsidR="00BA6026" w:rsidRPr="00BA6026">
        <w:rPr>
          <w:rFonts w:ascii="Arial" w:hAnsi="Arial" w:cs="Arial"/>
        </w:rPr>
        <w:t>denosumab</w:t>
      </w:r>
      <w:r w:rsidRPr="00BA6026">
        <w:rPr>
          <w:rFonts w:ascii="Arial" w:hAnsi="Arial" w:cs="Arial"/>
        </w:rPr>
        <w:t xml:space="preserve"> therapy</w:t>
      </w:r>
      <w:r w:rsidR="00BA6026" w:rsidRPr="00BA6026">
        <w:rPr>
          <w:rFonts w:ascii="Arial" w:hAnsi="Arial" w:cs="Arial"/>
        </w:rPr>
        <w:t xml:space="preserve"> s</w:t>
      </w:r>
      <w:r w:rsidRPr="00BA6026">
        <w:rPr>
          <w:rFonts w:ascii="Arial" w:hAnsi="Arial" w:cs="Arial"/>
        </w:rPr>
        <w:t>hould be considered</w:t>
      </w:r>
      <w:r w:rsidR="00B77271">
        <w:rPr>
          <w:rFonts w:ascii="Arial" w:hAnsi="Arial" w:cs="Arial"/>
        </w:rPr>
        <w:t xml:space="preserve"> if patient reports any</w:t>
      </w:r>
      <w:r w:rsidRPr="00BA6026">
        <w:rPr>
          <w:rFonts w:ascii="Arial" w:hAnsi="Arial" w:cs="Arial"/>
        </w:rPr>
        <w:t xml:space="preserve"> </w:t>
      </w:r>
      <w:r w:rsidR="00B77271" w:rsidRPr="00BA6026">
        <w:rPr>
          <w:rFonts w:ascii="Arial" w:hAnsi="Arial" w:cs="Arial"/>
        </w:rPr>
        <w:t>new or u</w:t>
      </w:r>
      <w:r w:rsidR="00B77271">
        <w:rPr>
          <w:rFonts w:ascii="Arial" w:hAnsi="Arial" w:cs="Arial"/>
        </w:rPr>
        <w:t xml:space="preserve">nusual thigh, hip, or groin pain, </w:t>
      </w:r>
      <w:r w:rsidRPr="00BA6026">
        <w:rPr>
          <w:rFonts w:ascii="Arial" w:hAnsi="Arial" w:cs="Arial"/>
        </w:rPr>
        <w:t xml:space="preserve">pending evaluation of the patient </w:t>
      </w:r>
      <w:r w:rsidR="00B77271">
        <w:rPr>
          <w:rFonts w:ascii="Arial" w:hAnsi="Arial" w:cs="Arial"/>
        </w:rPr>
        <w:t xml:space="preserve">for an atypical femoral fracture, </w:t>
      </w:r>
      <w:r w:rsidRPr="00BA6026">
        <w:rPr>
          <w:rFonts w:ascii="Arial" w:hAnsi="Arial" w:cs="Arial"/>
        </w:rPr>
        <w:t xml:space="preserve">based on an individual benefit risk assessment. </w:t>
      </w:r>
    </w:p>
    <w:p w14:paraId="7CAC73FE" w14:textId="77777777" w:rsidR="00A9329C" w:rsidRPr="00BA6026" w:rsidRDefault="00A9329C" w:rsidP="00C16DD8">
      <w:pPr>
        <w:jc w:val="both"/>
        <w:rPr>
          <w:rFonts w:ascii="Arial" w:hAnsi="Arial" w:cs="Arial"/>
          <w:b/>
          <w:sz w:val="22"/>
        </w:rPr>
      </w:pPr>
      <w:r w:rsidRPr="00BA6026">
        <w:rPr>
          <w:rFonts w:ascii="Arial" w:hAnsi="Arial" w:cs="Arial"/>
          <w:b/>
          <w:sz w:val="22"/>
        </w:rPr>
        <w:t>Therapeutic Use</w:t>
      </w:r>
    </w:p>
    <w:p w14:paraId="7EEAD90C" w14:textId="77777777" w:rsidR="00A9329C" w:rsidRPr="00BA6026" w:rsidRDefault="00A9329C" w:rsidP="00C16DD8">
      <w:pPr>
        <w:spacing w:after="120"/>
        <w:jc w:val="both"/>
        <w:rPr>
          <w:rFonts w:ascii="Arial" w:hAnsi="Arial" w:cs="Arial"/>
        </w:rPr>
      </w:pPr>
      <w:r w:rsidRPr="00BA6026">
        <w:rPr>
          <w:rFonts w:ascii="Arial" w:hAnsi="Arial" w:cs="Arial"/>
        </w:rPr>
        <w:t xml:space="preserve">Refer to </w:t>
      </w:r>
      <w:r w:rsidR="005819FA" w:rsidRPr="00BA6026">
        <w:rPr>
          <w:rFonts w:ascii="Arial" w:hAnsi="Arial" w:cs="Arial"/>
        </w:rPr>
        <w:t xml:space="preserve">the </w:t>
      </w:r>
      <w:r w:rsidRPr="00BA6026">
        <w:rPr>
          <w:rFonts w:ascii="Arial" w:hAnsi="Arial" w:cs="Arial"/>
        </w:rPr>
        <w:t xml:space="preserve">MTRAC </w:t>
      </w:r>
      <w:r w:rsidR="005819FA" w:rsidRPr="00BA6026">
        <w:rPr>
          <w:rFonts w:ascii="Arial" w:hAnsi="Arial" w:cs="Arial"/>
        </w:rPr>
        <w:t>Commissioning Support guidance on denosumab</w:t>
      </w:r>
      <w:r w:rsidRPr="00BA6026">
        <w:rPr>
          <w:rFonts w:ascii="Arial" w:hAnsi="Arial" w:cs="Arial"/>
        </w:rPr>
        <w:t>.</w:t>
      </w:r>
    </w:p>
    <w:p w14:paraId="12959248" w14:textId="77777777" w:rsidR="00A9329C" w:rsidRPr="00BA6026" w:rsidRDefault="00A9329C" w:rsidP="00C16DD8">
      <w:pPr>
        <w:jc w:val="both"/>
        <w:rPr>
          <w:rFonts w:ascii="Arial" w:hAnsi="Arial" w:cs="Arial"/>
          <w:b/>
          <w:sz w:val="22"/>
        </w:rPr>
      </w:pPr>
      <w:r w:rsidRPr="00BA6026">
        <w:rPr>
          <w:rFonts w:ascii="Arial" w:hAnsi="Arial" w:cs="Arial"/>
          <w:b/>
          <w:sz w:val="22"/>
        </w:rPr>
        <w:t>Side Effects</w:t>
      </w:r>
    </w:p>
    <w:p w14:paraId="0F197D72" w14:textId="77777777" w:rsidR="00835F95" w:rsidRPr="00835F95" w:rsidRDefault="00BA465A" w:rsidP="00C16DD8">
      <w:pPr>
        <w:jc w:val="both"/>
        <w:rPr>
          <w:rFonts w:ascii="Arial" w:hAnsi="Arial" w:cs="Arial"/>
        </w:rPr>
      </w:pPr>
      <w:r>
        <w:rPr>
          <w:rFonts w:ascii="Arial" w:hAnsi="Arial" w:cs="Arial"/>
        </w:rPr>
        <w:t>Infections of the urinary tract and upper respiratory tract are listed as common in the SPC; along with sciatica, cataracts, constipation, rash, and pain in the</w:t>
      </w:r>
      <w:r w:rsidR="008A4886">
        <w:rPr>
          <w:rFonts w:ascii="Arial" w:hAnsi="Arial" w:cs="Arial"/>
        </w:rPr>
        <w:t xml:space="preserve"> extremities</w:t>
      </w:r>
      <w:r>
        <w:rPr>
          <w:rFonts w:ascii="Arial" w:hAnsi="Arial" w:cs="Arial"/>
        </w:rPr>
        <w:t xml:space="preserve">.  </w:t>
      </w:r>
      <w:r w:rsidR="00835F95" w:rsidRPr="00835F95">
        <w:rPr>
          <w:rFonts w:ascii="Arial" w:hAnsi="Arial" w:cs="Arial"/>
        </w:rPr>
        <w:t>For adverse effects other than those described under contraindications, please see the SPC.</w:t>
      </w:r>
    </w:p>
    <w:p w14:paraId="5FEE351C" w14:textId="18573B4C" w:rsidR="00A9329C" w:rsidRPr="00BA6026" w:rsidRDefault="00BA6026" w:rsidP="00C16DD8">
      <w:pPr>
        <w:spacing w:after="120"/>
        <w:jc w:val="both"/>
        <w:rPr>
          <w:rFonts w:ascii="Arial" w:hAnsi="Arial" w:cs="Arial"/>
          <w:i/>
        </w:rPr>
      </w:pPr>
      <w:r w:rsidRPr="00BA6026">
        <w:rPr>
          <w:rFonts w:ascii="Arial" w:hAnsi="Arial" w:cs="Arial"/>
          <w:i/>
        </w:rPr>
        <w:t>Denosumab</w:t>
      </w:r>
      <w:r w:rsidR="00A9329C" w:rsidRPr="00BA6026">
        <w:rPr>
          <w:rFonts w:ascii="Arial" w:hAnsi="Arial" w:cs="Arial"/>
          <w:i/>
        </w:rPr>
        <w:t xml:space="preserve"> </w:t>
      </w:r>
      <w:proofErr w:type="gramStart"/>
      <w:r w:rsidR="00A9329C" w:rsidRPr="00BA6026">
        <w:rPr>
          <w:rFonts w:ascii="Arial" w:hAnsi="Arial" w:cs="Arial"/>
          <w:i/>
        </w:rPr>
        <w:t>was launched</w:t>
      </w:r>
      <w:proofErr w:type="gramEnd"/>
      <w:r w:rsidR="00A9329C" w:rsidRPr="00BA6026">
        <w:rPr>
          <w:rFonts w:ascii="Arial" w:hAnsi="Arial" w:cs="Arial"/>
          <w:i/>
        </w:rPr>
        <w:t xml:space="preserve"> in </w:t>
      </w:r>
      <w:r w:rsidRPr="00BA6026">
        <w:rPr>
          <w:rFonts w:ascii="Arial" w:hAnsi="Arial" w:cs="Arial"/>
          <w:i/>
        </w:rPr>
        <w:t>2010</w:t>
      </w:r>
      <w:r w:rsidR="00A9329C" w:rsidRPr="00BA6026">
        <w:rPr>
          <w:rFonts w:ascii="Arial" w:hAnsi="Arial" w:cs="Arial"/>
          <w:i/>
        </w:rPr>
        <w:t xml:space="preserve"> and </w:t>
      </w:r>
      <w:r w:rsidR="00B77271">
        <w:rPr>
          <w:rFonts w:ascii="Arial" w:hAnsi="Arial" w:cs="Arial"/>
          <w:i/>
        </w:rPr>
        <w:t xml:space="preserve">no longer </w:t>
      </w:r>
      <w:r w:rsidR="00A9329C" w:rsidRPr="00BA6026">
        <w:rPr>
          <w:rFonts w:ascii="Arial" w:hAnsi="Arial" w:cs="Arial"/>
          <w:i/>
        </w:rPr>
        <w:t xml:space="preserve">has black triangle </w:t>
      </w:r>
      <w:r w:rsidR="00A9329C" w:rsidRPr="00BA6026">
        <w:rPr>
          <w:rFonts w:ascii="Arial" w:hAnsi="Arial" w:cs="Arial"/>
        </w:rPr>
        <w:t>(▼)</w:t>
      </w:r>
      <w:r w:rsidR="00A9329C" w:rsidRPr="00BA6026">
        <w:rPr>
          <w:rFonts w:ascii="Arial" w:hAnsi="Arial" w:cs="Arial"/>
          <w:i/>
        </w:rPr>
        <w:t xml:space="preserve"> status.  </w:t>
      </w:r>
      <w:r w:rsidR="00B77271">
        <w:rPr>
          <w:i/>
        </w:rPr>
        <w:t>Serious suspected reactions (even if well recognised or causal link uncertain) should be reported to the MHRA</w:t>
      </w:r>
      <w:proofErr w:type="gramStart"/>
      <w:r w:rsidR="00B77271">
        <w:rPr>
          <w:i/>
        </w:rPr>
        <w:t>.</w:t>
      </w:r>
      <w:r w:rsidR="00A9329C" w:rsidRPr="00BA6026">
        <w:rPr>
          <w:rFonts w:ascii="Arial" w:hAnsi="Arial" w:cs="Arial"/>
          <w:i/>
        </w:rPr>
        <w:t>.</w:t>
      </w:r>
      <w:proofErr w:type="gramEnd"/>
    </w:p>
    <w:p w14:paraId="507863F0" w14:textId="77777777" w:rsidR="00A9329C" w:rsidRPr="00BA6026" w:rsidRDefault="00A9329C" w:rsidP="00C16DD8">
      <w:pPr>
        <w:jc w:val="both"/>
        <w:rPr>
          <w:rFonts w:ascii="Arial" w:hAnsi="Arial" w:cs="Arial"/>
          <w:b/>
          <w:sz w:val="22"/>
        </w:rPr>
      </w:pPr>
      <w:r w:rsidRPr="00BA6026">
        <w:rPr>
          <w:rFonts w:ascii="Arial" w:hAnsi="Arial" w:cs="Arial"/>
          <w:b/>
          <w:sz w:val="22"/>
        </w:rPr>
        <w:t>Drug Interactions</w:t>
      </w:r>
    </w:p>
    <w:p w14:paraId="359ED630" w14:textId="77777777" w:rsidR="00A9329C" w:rsidRPr="00BA6026" w:rsidRDefault="006A2D0C" w:rsidP="00C16DD8">
      <w:pPr>
        <w:spacing w:after="120"/>
        <w:jc w:val="both"/>
        <w:rPr>
          <w:rFonts w:ascii="Arial" w:hAnsi="Arial" w:cs="Arial"/>
        </w:rPr>
      </w:pPr>
      <w:r>
        <w:rPr>
          <w:rFonts w:ascii="Arial" w:hAnsi="Arial" w:cs="Arial"/>
        </w:rPr>
        <w:t>There is low potential for drug-drug interactions (see SPC).</w:t>
      </w:r>
      <w:r w:rsidR="008A4886">
        <w:rPr>
          <w:rFonts w:ascii="Arial" w:hAnsi="Arial" w:cs="Arial"/>
        </w:rPr>
        <w:t xml:space="preserve">  </w:t>
      </w:r>
      <w:r w:rsidR="0054397A" w:rsidRPr="0054397A">
        <w:rPr>
          <w:rFonts w:ascii="Arial" w:hAnsi="Arial" w:cs="Arial"/>
        </w:rPr>
        <w:t>In postmenopausal women with osteoporosis the pharmacokinetics and pharmacodynamics of denosumab were not altered by previous alendronate therapy, based on data from a transition study (alendronate to denosumab).</w:t>
      </w:r>
      <w:r w:rsidR="00A9329C" w:rsidRPr="00BA6026">
        <w:rPr>
          <w:rFonts w:ascii="Arial" w:hAnsi="Arial" w:cs="Arial"/>
        </w:rPr>
        <w:t xml:space="preserve"> </w:t>
      </w:r>
    </w:p>
    <w:p w14:paraId="298BCDC6" w14:textId="77777777" w:rsidR="00A9329C" w:rsidRPr="00BA6026" w:rsidRDefault="00A9329C" w:rsidP="00BA6026">
      <w:pPr>
        <w:pStyle w:val="mtrachead5"/>
        <w:numPr>
          <w:ilvl w:val="0"/>
          <w:numId w:val="0"/>
        </w:numPr>
        <w:rPr>
          <w:rFonts w:ascii="Arial" w:hAnsi="Arial" w:cs="Arial"/>
          <w:b/>
          <w:snapToGrid/>
          <w:sz w:val="22"/>
        </w:rPr>
      </w:pPr>
      <w:r w:rsidRPr="00BA6026">
        <w:rPr>
          <w:rFonts w:ascii="Arial" w:hAnsi="Arial" w:cs="Arial"/>
          <w:b/>
          <w:snapToGrid/>
          <w:sz w:val="22"/>
        </w:rPr>
        <w:t>References</w:t>
      </w:r>
    </w:p>
    <w:p w14:paraId="1BE9CC31" w14:textId="77777777" w:rsidR="00475CFB" w:rsidRPr="00E461F6" w:rsidRDefault="00475CFB" w:rsidP="00475CFB">
      <w:pPr>
        <w:pStyle w:val="mtrachead5"/>
        <w:numPr>
          <w:ilvl w:val="0"/>
          <w:numId w:val="0"/>
        </w:numPr>
        <w:ind w:right="-142"/>
        <w:rPr>
          <w:rFonts w:ascii="Arial" w:hAnsi="Arial" w:cs="Arial"/>
          <w:snapToGrid/>
          <w:sz w:val="16"/>
          <w:szCs w:val="16"/>
        </w:rPr>
      </w:pPr>
      <w:hyperlink r:id="rId8" w:history="1">
        <w:r w:rsidRPr="00E461F6">
          <w:rPr>
            <w:rStyle w:val="Hyperlink"/>
            <w:rFonts w:ascii="Arial" w:hAnsi="Arial" w:cs="Arial"/>
            <w:snapToGrid/>
            <w:sz w:val="16"/>
            <w:szCs w:val="16"/>
          </w:rPr>
          <w:t>Prescribing of Denosumab (</w:t>
        </w:r>
        <w:proofErr w:type="spellStart"/>
        <w:r w:rsidRPr="00E461F6">
          <w:rPr>
            <w:rStyle w:val="Hyperlink"/>
            <w:rFonts w:ascii="Arial" w:hAnsi="Arial" w:cs="Arial"/>
            <w:snapToGrid/>
            <w:sz w:val="16"/>
            <w:szCs w:val="16"/>
          </w:rPr>
          <w:t>Prolia</w:t>
        </w:r>
        <w:proofErr w:type="spellEnd"/>
        <w:r w:rsidRPr="00E461F6">
          <w:rPr>
            <w:rStyle w:val="Hyperlink"/>
            <w:rFonts w:ascii="Arial" w:hAnsi="Arial" w:cs="Arial"/>
            <w:snapToGrid/>
            <w:sz w:val="16"/>
            <w:szCs w:val="16"/>
          </w:rPr>
          <w:t xml:space="preserve">®) in Wales: Review – Shared care protocol All Wales Medicines Strategy Group </w:t>
        </w:r>
      </w:hyperlink>
    </w:p>
    <w:p w14:paraId="7361F2B4" w14:textId="765A76E2" w:rsidR="00A9329C" w:rsidRDefault="00A9329C" w:rsidP="00B77271">
      <w:pPr>
        <w:pStyle w:val="mtrachead5"/>
        <w:numPr>
          <w:ilvl w:val="0"/>
          <w:numId w:val="0"/>
        </w:numPr>
        <w:ind w:right="-142"/>
        <w:rPr>
          <w:rFonts w:ascii="Arial" w:hAnsi="Arial" w:cs="Arial"/>
          <w:snapToGrid/>
          <w:sz w:val="16"/>
          <w:szCs w:val="16"/>
        </w:rPr>
      </w:pPr>
      <w:r w:rsidRPr="006A2D0C">
        <w:rPr>
          <w:rFonts w:ascii="Arial" w:hAnsi="Arial" w:cs="Arial"/>
          <w:snapToGrid/>
          <w:sz w:val="16"/>
          <w:szCs w:val="16"/>
        </w:rPr>
        <w:t xml:space="preserve">MTRAC </w:t>
      </w:r>
      <w:r w:rsidR="0054397A" w:rsidRPr="006A2D0C">
        <w:rPr>
          <w:rFonts w:ascii="Arial" w:hAnsi="Arial" w:cs="Arial"/>
          <w:snapToGrid/>
          <w:sz w:val="16"/>
          <w:szCs w:val="16"/>
        </w:rPr>
        <w:t>Commissioning guidance sheet for denosumab</w:t>
      </w:r>
      <w:r w:rsidR="00FB303B" w:rsidRPr="006A2D0C">
        <w:rPr>
          <w:rFonts w:ascii="Arial" w:hAnsi="Arial" w:cs="Arial"/>
          <w:snapToGrid/>
          <w:sz w:val="16"/>
          <w:szCs w:val="16"/>
        </w:rPr>
        <w:t xml:space="preserve">, </w:t>
      </w:r>
      <w:r w:rsidR="00E461F6">
        <w:rPr>
          <w:rFonts w:ascii="Arial" w:hAnsi="Arial" w:cs="Arial"/>
          <w:snapToGrid/>
          <w:sz w:val="16"/>
          <w:szCs w:val="16"/>
        </w:rPr>
        <w:t xml:space="preserve">updated June 2019 </w:t>
      </w:r>
      <w:bookmarkStart w:id="0" w:name="_GoBack"/>
      <w:bookmarkEnd w:id="0"/>
    </w:p>
    <w:p w14:paraId="615B9511" w14:textId="1BD80CBA" w:rsidR="00F65AC9" w:rsidRPr="00F65AC9" w:rsidRDefault="006120FE" w:rsidP="00B77271">
      <w:pPr>
        <w:ind w:right="-142"/>
        <w:rPr>
          <w:sz w:val="16"/>
        </w:rPr>
      </w:pPr>
      <w:hyperlink r:id="rId9" w:history="1">
        <w:r w:rsidR="00F65AC9" w:rsidRPr="00F65AC9">
          <w:rPr>
            <w:rStyle w:val="Hyperlink"/>
            <w:sz w:val="16"/>
          </w:rPr>
          <w:t>CG146 Osteoporosis: assessing the risk of fragility fracture</w:t>
        </w:r>
      </w:hyperlink>
    </w:p>
    <w:p w14:paraId="0FA8D210" w14:textId="4DF23EAF" w:rsidR="006A2D0C" w:rsidRPr="006A2D0C" w:rsidRDefault="006120FE" w:rsidP="00B77271">
      <w:pPr>
        <w:pStyle w:val="ListParagraph"/>
        <w:ind w:left="0" w:right="-142"/>
        <w:rPr>
          <w:rFonts w:ascii="Arial" w:hAnsi="Arial" w:cs="Arial"/>
          <w:noProof/>
          <w:sz w:val="16"/>
          <w:szCs w:val="17"/>
          <w:u w:val="single"/>
        </w:rPr>
      </w:pPr>
      <w:hyperlink r:id="rId10" w:history="1">
        <w:r w:rsidR="006A2D0C" w:rsidRPr="008A4886">
          <w:rPr>
            <w:rStyle w:val="Hyperlink"/>
            <w:rFonts w:ascii="Arial" w:hAnsi="Arial" w:cs="Arial"/>
            <w:noProof/>
            <w:sz w:val="16"/>
            <w:szCs w:val="17"/>
          </w:rPr>
          <w:t xml:space="preserve">TA204 Denosumab for the prevention of osteoporotic fractures in postmenopausal women. NICE  2010 </w:t>
        </w:r>
      </w:hyperlink>
      <w:r w:rsidR="006A2D0C" w:rsidRPr="006A2D0C">
        <w:rPr>
          <w:rFonts w:ascii="Arial" w:hAnsi="Arial" w:cs="Arial"/>
          <w:noProof/>
          <w:sz w:val="16"/>
          <w:szCs w:val="17"/>
        </w:rPr>
        <w:t xml:space="preserve"> </w:t>
      </w:r>
    </w:p>
    <w:p w14:paraId="5A8F6E3A" w14:textId="6358DFED" w:rsidR="00A9329C" w:rsidRPr="006A2D0C" w:rsidRDefault="0054397A" w:rsidP="00B77271">
      <w:pPr>
        <w:pStyle w:val="mtrachead5"/>
        <w:numPr>
          <w:ilvl w:val="0"/>
          <w:numId w:val="0"/>
        </w:numPr>
        <w:ind w:right="-142"/>
        <w:jc w:val="left"/>
        <w:rPr>
          <w:rFonts w:ascii="Arial" w:hAnsi="Arial" w:cs="Arial"/>
          <w:sz w:val="16"/>
          <w:szCs w:val="16"/>
        </w:rPr>
      </w:pPr>
      <w:r w:rsidRPr="006A2D0C">
        <w:rPr>
          <w:rFonts w:ascii="Arial" w:hAnsi="Arial" w:cs="Arial"/>
          <w:sz w:val="16"/>
          <w:szCs w:val="16"/>
        </w:rPr>
        <w:t>Amgen</w:t>
      </w:r>
      <w:r w:rsidR="00A9329C" w:rsidRPr="006A2D0C">
        <w:rPr>
          <w:rFonts w:ascii="Arial" w:hAnsi="Arial" w:cs="Arial"/>
          <w:sz w:val="16"/>
          <w:szCs w:val="16"/>
        </w:rPr>
        <w:t xml:space="preserve"> Limited</w:t>
      </w:r>
      <w:hyperlink r:id="rId11" w:history="1">
        <w:r w:rsidR="00A9329C" w:rsidRPr="006A2D0C">
          <w:rPr>
            <w:rStyle w:val="Hyperlink"/>
            <w:rFonts w:ascii="Arial" w:hAnsi="Arial" w:cs="Arial"/>
            <w:sz w:val="16"/>
            <w:szCs w:val="16"/>
          </w:rPr>
          <w:t xml:space="preserve">.  </w:t>
        </w:r>
        <w:proofErr w:type="spellStart"/>
        <w:r w:rsidR="00740AAB" w:rsidRPr="006A2D0C">
          <w:rPr>
            <w:rStyle w:val="Hyperlink"/>
            <w:rFonts w:ascii="Arial" w:hAnsi="Arial" w:cs="Arial"/>
            <w:sz w:val="16"/>
            <w:szCs w:val="16"/>
          </w:rPr>
          <w:t>Prolia</w:t>
        </w:r>
        <w:proofErr w:type="spellEnd"/>
        <w:r w:rsidR="00A9329C" w:rsidRPr="006A2D0C">
          <w:rPr>
            <w:rStyle w:val="Hyperlink"/>
            <w:rFonts w:ascii="Arial" w:hAnsi="Arial" w:cs="Arial"/>
            <w:sz w:val="16"/>
            <w:szCs w:val="16"/>
          </w:rPr>
          <w:t xml:space="preserve">. Summary of Product Characteristics </w:t>
        </w:r>
        <w:r w:rsidR="00740AAB" w:rsidRPr="006A2D0C">
          <w:rPr>
            <w:rStyle w:val="Hyperlink"/>
            <w:rFonts w:ascii="Arial" w:hAnsi="Arial" w:cs="Arial"/>
            <w:sz w:val="16"/>
            <w:szCs w:val="16"/>
          </w:rPr>
          <w:t>201</w:t>
        </w:r>
        <w:r w:rsidR="00B77271">
          <w:rPr>
            <w:rStyle w:val="Hyperlink"/>
            <w:rFonts w:ascii="Arial" w:hAnsi="Arial" w:cs="Arial"/>
            <w:sz w:val="16"/>
            <w:szCs w:val="16"/>
          </w:rPr>
          <w:t>8</w:t>
        </w:r>
        <w:r w:rsidR="00740AAB" w:rsidRPr="006A2D0C">
          <w:rPr>
            <w:rStyle w:val="Hyperlink"/>
            <w:rFonts w:ascii="Arial" w:hAnsi="Arial" w:cs="Arial"/>
            <w:sz w:val="16"/>
            <w:szCs w:val="16"/>
          </w:rPr>
          <w:t>.</w:t>
        </w:r>
      </w:hyperlink>
    </w:p>
    <w:p w14:paraId="4B848CAC" w14:textId="77777777" w:rsidR="00FB303B" w:rsidRPr="006A2D0C" w:rsidRDefault="00FB303B" w:rsidP="00B77271">
      <w:pPr>
        <w:pStyle w:val="mtrachead5"/>
        <w:numPr>
          <w:ilvl w:val="0"/>
          <w:numId w:val="0"/>
        </w:numPr>
        <w:ind w:right="-142"/>
        <w:jc w:val="left"/>
        <w:rPr>
          <w:rFonts w:ascii="Arial" w:hAnsi="Arial" w:cs="Arial"/>
          <w:snapToGrid/>
          <w:sz w:val="16"/>
          <w:szCs w:val="16"/>
        </w:rPr>
      </w:pPr>
      <w:r w:rsidRPr="006A2D0C">
        <w:rPr>
          <w:rFonts w:ascii="Arial" w:hAnsi="Arial" w:cs="Arial"/>
          <w:snapToGrid/>
          <w:sz w:val="16"/>
          <w:szCs w:val="16"/>
        </w:rPr>
        <w:t xml:space="preserve">Cellulitis – acute </w:t>
      </w:r>
      <w:hyperlink r:id="rId12" w:history="1">
        <w:r w:rsidRPr="006A2D0C">
          <w:rPr>
            <w:rStyle w:val="Hyperlink"/>
            <w:rFonts w:ascii="Arial" w:hAnsi="Arial" w:cs="Arial"/>
            <w:snapToGrid/>
            <w:sz w:val="16"/>
            <w:szCs w:val="16"/>
          </w:rPr>
          <w:t>http://cks.nice.org.uk/cellulitis-acute</w:t>
        </w:r>
      </w:hyperlink>
    </w:p>
    <w:p w14:paraId="37158803" w14:textId="46A53875" w:rsidR="00FB303B" w:rsidRDefault="006120FE" w:rsidP="00B77271">
      <w:pPr>
        <w:pStyle w:val="ListParagraph"/>
        <w:tabs>
          <w:tab w:val="left" w:pos="0"/>
        </w:tabs>
        <w:ind w:left="0" w:right="-142"/>
        <w:rPr>
          <w:rStyle w:val="Hyperlink"/>
          <w:rFonts w:ascii="Arial" w:hAnsi="Arial" w:cs="Arial"/>
          <w:noProof/>
          <w:sz w:val="16"/>
          <w:szCs w:val="16"/>
        </w:rPr>
      </w:pPr>
      <w:hyperlink r:id="rId13" w:history="1">
        <w:r w:rsidR="00B77271" w:rsidRPr="00B77271">
          <w:rPr>
            <w:rStyle w:val="Hyperlink"/>
            <w:rFonts w:ascii="Arial" w:hAnsi="Arial" w:cs="Arial"/>
            <w:noProof/>
            <w:sz w:val="16"/>
            <w:szCs w:val="16"/>
          </w:rPr>
          <w:t>Denosumab: monitoring recommended</w:t>
        </w:r>
      </w:hyperlink>
    </w:p>
    <w:p w14:paraId="4B73B4DF" w14:textId="2F88E93B" w:rsidR="00B77271" w:rsidRPr="00B77271" w:rsidRDefault="006120FE" w:rsidP="00B77271">
      <w:pPr>
        <w:pStyle w:val="ListParagraph"/>
        <w:tabs>
          <w:tab w:val="left" w:pos="0"/>
        </w:tabs>
        <w:ind w:left="0" w:right="-142"/>
        <w:rPr>
          <w:rStyle w:val="Hyperlink"/>
          <w:rFonts w:ascii="Arial" w:hAnsi="Arial" w:cs="Arial"/>
          <w:noProof/>
          <w:sz w:val="12"/>
          <w:szCs w:val="16"/>
        </w:rPr>
      </w:pPr>
      <w:hyperlink r:id="rId14" w:history="1">
        <w:r w:rsidR="00B77271" w:rsidRPr="00B77271">
          <w:rPr>
            <w:rStyle w:val="Hyperlink"/>
            <w:rFonts w:ascii="Arial" w:hAnsi="Arial" w:cs="Arial"/>
            <w:sz w:val="16"/>
          </w:rPr>
          <w:t>Denosumab (</w:t>
        </w:r>
        <w:proofErr w:type="spellStart"/>
        <w:r w:rsidR="00B77271" w:rsidRPr="00B77271">
          <w:rPr>
            <w:rStyle w:val="Hyperlink"/>
            <w:rFonts w:ascii="Arial" w:hAnsi="Arial" w:cs="Arial"/>
            <w:sz w:val="16"/>
          </w:rPr>
          <w:t>Xgeva</w:t>
        </w:r>
        <w:proofErr w:type="spellEnd"/>
        <w:r w:rsidR="00B77271" w:rsidRPr="00B77271">
          <w:rPr>
            <w:rStyle w:val="Hyperlink"/>
            <w:rFonts w:ascii="Arial" w:hAnsi="Arial" w:cs="Arial"/>
            <w:sz w:val="16"/>
          </w:rPr>
          <w:t xml:space="preserve">▼, </w:t>
        </w:r>
        <w:proofErr w:type="spellStart"/>
        <w:r w:rsidR="00B77271" w:rsidRPr="00B77271">
          <w:rPr>
            <w:rStyle w:val="Hyperlink"/>
            <w:rFonts w:ascii="Arial" w:hAnsi="Arial" w:cs="Arial"/>
            <w:sz w:val="16"/>
          </w:rPr>
          <w:t>Prolia</w:t>
        </w:r>
        <w:proofErr w:type="spellEnd"/>
        <w:r w:rsidR="00B77271" w:rsidRPr="00B77271">
          <w:rPr>
            <w:rStyle w:val="Hyperlink"/>
            <w:rFonts w:ascii="Arial" w:hAnsi="Arial" w:cs="Arial"/>
            <w:sz w:val="16"/>
          </w:rPr>
          <w:t>)</w:t>
        </w:r>
        <w:proofErr w:type="gramStart"/>
        <w:r w:rsidR="00B77271" w:rsidRPr="00B77271">
          <w:rPr>
            <w:rStyle w:val="Hyperlink"/>
            <w:rFonts w:ascii="Arial" w:hAnsi="Arial" w:cs="Arial"/>
            <w:sz w:val="16"/>
          </w:rPr>
          <w:t>;</w:t>
        </w:r>
        <w:proofErr w:type="gramEnd"/>
        <w:r w:rsidR="00B77271" w:rsidRPr="00B77271">
          <w:rPr>
            <w:rStyle w:val="Hyperlink"/>
            <w:rFonts w:ascii="Arial" w:hAnsi="Arial" w:cs="Arial"/>
            <w:sz w:val="16"/>
          </w:rPr>
          <w:t xml:space="preserve"> intravenous bisphosphonates: osteonecrosis of the jaw—further measures to minimise risk. MHRA (2015</w:t>
        </w:r>
      </w:hyperlink>
      <w:r w:rsidR="00B77271">
        <w:rPr>
          <w:rFonts w:ascii="Arial" w:hAnsi="Arial" w:cs="Arial"/>
          <w:sz w:val="16"/>
        </w:rPr>
        <w:t>)</w:t>
      </w:r>
    </w:p>
    <w:p w14:paraId="500FB9A6" w14:textId="22CA222D" w:rsidR="00FB303B" w:rsidRDefault="006120FE" w:rsidP="00BA465A">
      <w:pPr>
        <w:pStyle w:val="ListParagraph"/>
        <w:tabs>
          <w:tab w:val="left" w:pos="0"/>
        </w:tabs>
        <w:ind w:left="0"/>
        <w:rPr>
          <w:rFonts w:ascii="Arial" w:hAnsi="Arial" w:cs="Arial"/>
          <w:noProof/>
          <w:sz w:val="16"/>
          <w:szCs w:val="16"/>
        </w:rPr>
      </w:pPr>
      <w:hyperlink r:id="rId15" w:history="1">
        <w:r w:rsidR="00FB303B" w:rsidRPr="00B77271">
          <w:rPr>
            <w:rStyle w:val="Hyperlink"/>
            <w:rFonts w:ascii="Arial" w:hAnsi="Arial" w:cs="Arial"/>
            <w:noProof/>
            <w:sz w:val="16"/>
            <w:szCs w:val="16"/>
          </w:rPr>
          <w:t>Denosumab 60 mg (Prolia): rare cases of atypical femoral fracture with long-term use. MHRA  2013</w:t>
        </w:r>
      </w:hyperlink>
      <w:r w:rsidR="00FB303B" w:rsidRPr="006A2D0C">
        <w:rPr>
          <w:rFonts w:ascii="Arial" w:hAnsi="Arial" w:cs="Arial"/>
          <w:noProof/>
          <w:sz w:val="16"/>
          <w:szCs w:val="16"/>
        </w:rPr>
        <w:t xml:space="preserve"> </w:t>
      </w:r>
    </w:p>
    <w:p w14:paraId="3F8DD4F7" w14:textId="2E48EBD7" w:rsidR="00B77271" w:rsidRPr="00B77271" w:rsidRDefault="006120FE" w:rsidP="00BA465A">
      <w:pPr>
        <w:pStyle w:val="ListParagraph"/>
        <w:tabs>
          <w:tab w:val="left" w:pos="0"/>
        </w:tabs>
        <w:ind w:left="0"/>
        <w:rPr>
          <w:rFonts w:ascii="Arial" w:hAnsi="Arial" w:cs="Arial"/>
          <w:sz w:val="16"/>
          <w:szCs w:val="16"/>
        </w:rPr>
      </w:pPr>
      <w:hyperlink r:id="rId16" w:history="1">
        <w:r w:rsidR="00B77271" w:rsidRPr="00B77271">
          <w:rPr>
            <w:rStyle w:val="Hyperlink"/>
            <w:rFonts w:ascii="Arial" w:hAnsi="Arial" w:cs="Arial"/>
            <w:sz w:val="16"/>
            <w:szCs w:val="16"/>
          </w:rPr>
          <w:t>Denosumab (</w:t>
        </w:r>
        <w:proofErr w:type="spellStart"/>
        <w:r w:rsidR="00B77271" w:rsidRPr="00B77271">
          <w:rPr>
            <w:rStyle w:val="Hyperlink"/>
            <w:rFonts w:ascii="Arial" w:hAnsi="Arial" w:cs="Arial"/>
            <w:sz w:val="16"/>
            <w:szCs w:val="16"/>
          </w:rPr>
          <w:t>Prolia</w:t>
        </w:r>
        <w:proofErr w:type="spellEnd"/>
        <w:r w:rsidR="00B77271" w:rsidRPr="00B77271">
          <w:rPr>
            <w:rStyle w:val="Hyperlink"/>
            <w:rFonts w:ascii="Arial" w:hAnsi="Arial" w:cs="Arial"/>
            <w:sz w:val="16"/>
            <w:szCs w:val="16"/>
          </w:rPr>
          <w:t xml:space="preserve">, </w:t>
        </w:r>
        <w:proofErr w:type="spellStart"/>
        <w:r w:rsidR="00B77271" w:rsidRPr="00B77271">
          <w:rPr>
            <w:rStyle w:val="Hyperlink"/>
            <w:rFonts w:ascii="Arial" w:hAnsi="Arial" w:cs="Arial"/>
            <w:sz w:val="16"/>
            <w:szCs w:val="16"/>
          </w:rPr>
          <w:t>Xgeva</w:t>
        </w:r>
        <w:proofErr w:type="spellEnd"/>
        <w:r w:rsidR="00B77271" w:rsidRPr="00B77271">
          <w:rPr>
            <w:rStyle w:val="Hyperlink"/>
            <w:rFonts w:ascii="Arial" w:hAnsi="Arial" w:cs="Arial"/>
            <w:sz w:val="16"/>
            <w:szCs w:val="16"/>
          </w:rPr>
          <w:t>▼): reports of osteonecrosis of the external auditory canal MHRA (2017)</w:t>
        </w:r>
      </w:hyperlink>
    </w:p>
    <w:sectPr w:rsidR="00B77271" w:rsidRPr="00B77271" w:rsidSect="00B77271">
      <w:headerReference w:type="default" r:id="rId17"/>
      <w:footerReference w:type="default" r:id="rId18"/>
      <w:type w:val="continuous"/>
      <w:pgSz w:w="11907" w:h="16840" w:code="9"/>
      <w:pgMar w:top="907" w:right="1134" w:bottom="306" w:left="1134" w:header="397" w:footer="3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22E9E5" w14:textId="77777777" w:rsidR="006120FE" w:rsidRDefault="006120FE">
      <w:r>
        <w:separator/>
      </w:r>
    </w:p>
  </w:endnote>
  <w:endnote w:type="continuationSeparator" w:id="0">
    <w:p w14:paraId="2461F93D" w14:textId="77777777" w:rsidR="006120FE" w:rsidRDefault="006120FE">
      <w:r>
        <w:continuationSeparator/>
      </w:r>
    </w:p>
  </w:endnote>
  <w:endnote w:type="continuationNotice" w:id="1">
    <w:p w14:paraId="5F0760A2" w14:textId="77777777" w:rsidR="006120FE" w:rsidRDefault="006120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Light">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rutiger-Roma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C77106" w14:textId="77777777" w:rsidR="00A9329C" w:rsidRPr="008A4886" w:rsidRDefault="00A9329C" w:rsidP="008A4886">
    <w:pPr>
      <w:pStyle w:val="mtrachead6"/>
      <w:spacing w:after="40"/>
      <w:jc w:val="center"/>
      <w:rPr>
        <w:rFonts w:ascii="Arial" w:hAnsi="Arial"/>
        <w:snapToGrid/>
        <w:spacing w:val="0"/>
        <w:sz w:val="15"/>
      </w:rPr>
    </w:pPr>
    <w:r>
      <w:rPr>
        <w:rFonts w:ascii="Arial" w:hAnsi="Arial"/>
        <w:snapToGrid/>
        <w:spacing w:val="0"/>
        <w:sz w:val="15"/>
      </w:rPr>
      <w:t xml:space="preserve">This ESCA should be read in conjunction with the Summary of Product Characteristics (SPC) and the </w:t>
    </w:r>
    <w:r>
      <w:rPr>
        <w:rFonts w:ascii="Arial" w:hAnsi="Arial"/>
        <w:sz w:val="15"/>
      </w:rPr>
      <w:t>Midland</w:t>
    </w:r>
    <w:r w:rsidR="007722AA">
      <w:rPr>
        <w:rFonts w:ascii="Arial" w:hAnsi="Arial"/>
        <w:sz w:val="15"/>
      </w:rPr>
      <w:t>s</w:t>
    </w:r>
    <w:r>
      <w:rPr>
        <w:rFonts w:ascii="Arial" w:hAnsi="Arial"/>
        <w:sz w:val="15"/>
      </w:rPr>
      <w:t xml:space="preserve"> Therapeutic</w:t>
    </w:r>
    <w:r w:rsidR="007722AA">
      <w:rPr>
        <w:rFonts w:ascii="Arial" w:hAnsi="Arial"/>
        <w:sz w:val="15"/>
      </w:rPr>
      <w:t>s</w:t>
    </w:r>
    <w:r>
      <w:rPr>
        <w:rFonts w:ascii="Arial" w:hAnsi="Arial"/>
        <w:sz w:val="15"/>
      </w:rPr>
      <w:t xml:space="preserve"> Review and Advisory Committee (</w:t>
    </w:r>
    <w:r>
      <w:rPr>
        <w:rFonts w:ascii="Arial" w:hAnsi="Arial"/>
        <w:snapToGrid/>
        <w:spacing w:val="0"/>
        <w:sz w:val="15"/>
      </w:rPr>
      <w:t xml:space="preserve">MTRAC) </w:t>
    </w:r>
    <w:r w:rsidR="00372D94">
      <w:rPr>
        <w:rFonts w:ascii="Arial" w:hAnsi="Arial"/>
        <w:snapToGrid/>
        <w:spacing w:val="0"/>
        <w:sz w:val="15"/>
      </w:rPr>
      <w:t>guidance sheet</w:t>
    </w:r>
  </w:p>
  <w:p w14:paraId="5547C740" w14:textId="77777777" w:rsidR="00A9329C" w:rsidRDefault="00A9329C">
    <w:pPr>
      <w:jc w:val="center"/>
      <w:rPr>
        <w:rFonts w:ascii="Arial" w:hAnsi="Arial"/>
        <w:sz w:val="15"/>
      </w:rPr>
    </w:pPr>
    <w:r>
      <w:rPr>
        <w:rFonts w:ascii="Arial" w:hAnsi="Arial"/>
        <w:sz w:val="15"/>
      </w:rPr>
      <w:t xml:space="preserve">Template </w:t>
    </w:r>
    <w:r w:rsidR="00BA465A">
      <w:rPr>
        <w:rFonts w:ascii="Arial" w:hAnsi="Arial"/>
        <w:sz w:val="15"/>
      </w:rPr>
      <w:t>produced by MTRAC; adapted from local ESCAs produced in Wolverhampton and Dudley CCGs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144CC8" w14:textId="77777777" w:rsidR="006120FE" w:rsidRDefault="006120FE">
      <w:r>
        <w:separator/>
      </w:r>
    </w:p>
  </w:footnote>
  <w:footnote w:type="continuationSeparator" w:id="0">
    <w:p w14:paraId="2E05175E" w14:textId="77777777" w:rsidR="006120FE" w:rsidRDefault="006120FE">
      <w:r>
        <w:continuationSeparator/>
      </w:r>
    </w:p>
  </w:footnote>
  <w:footnote w:type="continuationNotice" w:id="1">
    <w:p w14:paraId="7EA0D266" w14:textId="77777777" w:rsidR="006120FE" w:rsidRDefault="006120F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51F7FD" w14:textId="77777777" w:rsidR="00A9329C" w:rsidRDefault="00A9329C">
    <w:pPr>
      <w:pStyle w:val="Header"/>
      <w:jc w:val="center"/>
      <w:rPr>
        <w:rFonts w:ascii="Arial" w:hAnsi="Arial"/>
      </w:rPr>
    </w:pPr>
    <w:r>
      <w:rPr>
        <w:rFonts w:ascii="Arial" w:hAnsi="Arial"/>
      </w:rPr>
      <w:t>TEMPLATE EFFECTIVE SHARED CARE AGREEMENT (</w:t>
    </w:r>
    <w:r w:rsidR="00E925C6">
      <w:rPr>
        <w:rFonts w:ascii="Arial" w:hAnsi="Arial"/>
      </w:rPr>
      <w:t>denosumab</w:t>
    </w:r>
    <w:r>
      <w:rPr>
        <w:rFonts w:ascii="Arial" w:hAnsi="Arial"/>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C449F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8BA07D0"/>
    <w:multiLevelType w:val="singleLevel"/>
    <w:tmpl w:val="62420584"/>
    <w:lvl w:ilvl="0">
      <w:start w:val="1"/>
      <w:numFmt w:val="decimal"/>
      <w:lvlText w:val="%1."/>
      <w:lvlJc w:val="left"/>
      <w:pPr>
        <w:tabs>
          <w:tab w:val="num" w:pos="360"/>
        </w:tabs>
        <w:ind w:left="360" w:hanging="360"/>
      </w:pPr>
    </w:lvl>
  </w:abstractNum>
  <w:abstractNum w:abstractNumId="2" w15:restartNumberingAfterBreak="0">
    <w:nsid w:val="094953B9"/>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0B114123"/>
    <w:multiLevelType w:val="singleLevel"/>
    <w:tmpl w:val="0809000F"/>
    <w:lvl w:ilvl="0">
      <w:start w:val="1"/>
      <w:numFmt w:val="decimal"/>
      <w:lvlText w:val="%1."/>
      <w:lvlJc w:val="left"/>
      <w:pPr>
        <w:tabs>
          <w:tab w:val="num" w:pos="360"/>
        </w:tabs>
        <w:ind w:left="360" w:hanging="360"/>
      </w:pPr>
    </w:lvl>
  </w:abstractNum>
  <w:abstractNum w:abstractNumId="4" w15:restartNumberingAfterBreak="0">
    <w:nsid w:val="0C23423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D9A7457"/>
    <w:multiLevelType w:val="singleLevel"/>
    <w:tmpl w:val="20DE4446"/>
    <w:lvl w:ilvl="0">
      <w:start w:val="1"/>
      <w:numFmt w:val="decimal"/>
      <w:lvlText w:val="%1"/>
      <w:lvlJc w:val="left"/>
      <w:pPr>
        <w:tabs>
          <w:tab w:val="num" w:pos="360"/>
        </w:tabs>
        <w:ind w:left="340" w:hanging="340"/>
      </w:pPr>
      <w:rPr>
        <w:b w:val="0"/>
        <w:i w:val="0"/>
      </w:rPr>
    </w:lvl>
  </w:abstractNum>
  <w:abstractNum w:abstractNumId="6" w15:restartNumberingAfterBreak="0">
    <w:nsid w:val="0FFA26E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006707B"/>
    <w:multiLevelType w:val="singleLevel"/>
    <w:tmpl w:val="C3ECB4E6"/>
    <w:lvl w:ilvl="0">
      <w:start w:val="1"/>
      <w:numFmt w:val="decimal"/>
      <w:lvlText w:val="(%1)"/>
      <w:lvlJc w:val="left"/>
      <w:pPr>
        <w:tabs>
          <w:tab w:val="num" w:pos="432"/>
        </w:tabs>
        <w:ind w:left="432" w:hanging="432"/>
      </w:pPr>
      <w:rPr>
        <w:rFonts w:hint="default"/>
      </w:rPr>
    </w:lvl>
  </w:abstractNum>
  <w:abstractNum w:abstractNumId="8" w15:restartNumberingAfterBreak="0">
    <w:nsid w:val="11580463"/>
    <w:multiLevelType w:val="hybridMultilevel"/>
    <w:tmpl w:val="09FC5F1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971349"/>
    <w:multiLevelType w:val="singleLevel"/>
    <w:tmpl w:val="FD288BEA"/>
    <w:lvl w:ilvl="0">
      <w:start w:val="1"/>
      <w:numFmt w:val="decimal"/>
      <w:lvlText w:val="(%1)"/>
      <w:lvlJc w:val="left"/>
      <w:pPr>
        <w:tabs>
          <w:tab w:val="num" w:pos="360"/>
        </w:tabs>
        <w:ind w:left="360" w:hanging="360"/>
      </w:pPr>
      <w:rPr>
        <w:rFonts w:hint="default"/>
      </w:rPr>
    </w:lvl>
  </w:abstractNum>
  <w:abstractNum w:abstractNumId="10" w15:restartNumberingAfterBreak="0">
    <w:nsid w:val="248B1AFC"/>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11" w15:restartNumberingAfterBreak="0">
    <w:nsid w:val="26B82ACC"/>
    <w:multiLevelType w:val="hybridMultilevel"/>
    <w:tmpl w:val="22CC2F62"/>
    <w:lvl w:ilvl="0" w:tplc="35AC8748">
      <w:start w:val="1"/>
      <w:numFmt w:val="decimal"/>
      <w:lvlText w:val="%1."/>
      <w:lvlJc w:val="left"/>
      <w:pPr>
        <w:ind w:left="720" w:hanging="360"/>
      </w:pPr>
      <w:rPr>
        <w:sz w:val="16"/>
        <w:szCs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F47EA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D6D6FA3"/>
    <w:multiLevelType w:val="singleLevel"/>
    <w:tmpl w:val="DE32BDFE"/>
    <w:lvl w:ilvl="0">
      <w:start w:val="1"/>
      <w:numFmt w:val="decimal"/>
      <w:lvlText w:val="%1"/>
      <w:lvlJc w:val="left"/>
      <w:pPr>
        <w:tabs>
          <w:tab w:val="num" w:pos="360"/>
        </w:tabs>
        <w:ind w:left="340" w:hanging="340"/>
      </w:pPr>
      <w:rPr>
        <w:b w:val="0"/>
        <w:i w:val="0"/>
      </w:rPr>
    </w:lvl>
  </w:abstractNum>
  <w:abstractNum w:abstractNumId="14" w15:restartNumberingAfterBreak="0">
    <w:nsid w:val="30E627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31605C6A"/>
    <w:multiLevelType w:val="hybridMultilevel"/>
    <w:tmpl w:val="0E5AF8AE"/>
    <w:lvl w:ilvl="0" w:tplc="20B8BA8A">
      <w:start w:val="1"/>
      <w:numFmt w:val="bullet"/>
      <w:lvlText w:val=""/>
      <w:lvlJc w:val="left"/>
      <w:pPr>
        <w:tabs>
          <w:tab w:val="num" w:pos="720"/>
        </w:tabs>
        <w:ind w:left="720" w:hanging="360"/>
      </w:pPr>
      <w:rPr>
        <w:rFonts w:ascii="Symbol" w:hAnsi="Symbol" w:hint="default"/>
      </w:rPr>
    </w:lvl>
    <w:lvl w:ilvl="1" w:tplc="F3AE163E" w:tentative="1">
      <w:start w:val="1"/>
      <w:numFmt w:val="bullet"/>
      <w:lvlText w:val="o"/>
      <w:lvlJc w:val="left"/>
      <w:pPr>
        <w:tabs>
          <w:tab w:val="num" w:pos="1440"/>
        </w:tabs>
        <w:ind w:left="1440" w:hanging="360"/>
      </w:pPr>
      <w:rPr>
        <w:rFonts w:ascii="Courier New" w:hAnsi="Courier New" w:cs="Courier New" w:hint="default"/>
      </w:rPr>
    </w:lvl>
    <w:lvl w:ilvl="2" w:tplc="8B884364" w:tentative="1">
      <w:start w:val="1"/>
      <w:numFmt w:val="bullet"/>
      <w:lvlText w:val=""/>
      <w:lvlJc w:val="left"/>
      <w:pPr>
        <w:tabs>
          <w:tab w:val="num" w:pos="2160"/>
        </w:tabs>
        <w:ind w:left="2160" w:hanging="360"/>
      </w:pPr>
      <w:rPr>
        <w:rFonts w:ascii="Wingdings" w:hAnsi="Wingdings" w:hint="default"/>
      </w:rPr>
    </w:lvl>
    <w:lvl w:ilvl="3" w:tplc="C3A41A4A" w:tentative="1">
      <w:start w:val="1"/>
      <w:numFmt w:val="bullet"/>
      <w:lvlText w:val=""/>
      <w:lvlJc w:val="left"/>
      <w:pPr>
        <w:tabs>
          <w:tab w:val="num" w:pos="2880"/>
        </w:tabs>
        <w:ind w:left="2880" w:hanging="360"/>
      </w:pPr>
      <w:rPr>
        <w:rFonts w:ascii="Symbol" w:hAnsi="Symbol" w:hint="default"/>
      </w:rPr>
    </w:lvl>
    <w:lvl w:ilvl="4" w:tplc="F7726FF8" w:tentative="1">
      <w:start w:val="1"/>
      <w:numFmt w:val="bullet"/>
      <w:lvlText w:val="o"/>
      <w:lvlJc w:val="left"/>
      <w:pPr>
        <w:tabs>
          <w:tab w:val="num" w:pos="3600"/>
        </w:tabs>
        <w:ind w:left="3600" w:hanging="360"/>
      </w:pPr>
      <w:rPr>
        <w:rFonts w:ascii="Courier New" w:hAnsi="Courier New" w:cs="Courier New" w:hint="default"/>
      </w:rPr>
    </w:lvl>
    <w:lvl w:ilvl="5" w:tplc="D77061C6" w:tentative="1">
      <w:start w:val="1"/>
      <w:numFmt w:val="bullet"/>
      <w:lvlText w:val=""/>
      <w:lvlJc w:val="left"/>
      <w:pPr>
        <w:tabs>
          <w:tab w:val="num" w:pos="4320"/>
        </w:tabs>
        <w:ind w:left="4320" w:hanging="360"/>
      </w:pPr>
      <w:rPr>
        <w:rFonts w:ascii="Wingdings" w:hAnsi="Wingdings" w:hint="default"/>
      </w:rPr>
    </w:lvl>
    <w:lvl w:ilvl="6" w:tplc="4D284AC8" w:tentative="1">
      <w:start w:val="1"/>
      <w:numFmt w:val="bullet"/>
      <w:lvlText w:val=""/>
      <w:lvlJc w:val="left"/>
      <w:pPr>
        <w:tabs>
          <w:tab w:val="num" w:pos="5040"/>
        </w:tabs>
        <w:ind w:left="5040" w:hanging="360"/>
      </w:pPr>
      <w:rPr>
        <w:rFonts w:ascii="Symbol" w:hAnsi="Symbol" w:hint="default"/>
      </w:rPr>
    </w:lvl>
    <w:lvl w:ilvl="7" w:tplc="44FCCA5E" w:tentative="1">
      <w:start w:val="1"/>
      <w:numFmt w:val="bullet"/>
      <w:lvlText w:val="o"/>
      <w:lvlJc w:val="left"/>
      <w:pPr>
        <w:tabs>
          <w:tab w:val="num" w:pos="5760"/>
        </w:tabs>
        <w:ind w:left="5760" w:hanging="360"/>
      </w:pPr>
      <w:rPr>
        <w:rFonts w:ascii="Courier New" w:hAnsi="Courier New" w:cs="Courier New" w:hint="default"/>
      </w:rPr>
    </w:lvl>
    <w:lvl w:ilvl="8" w:tplc="1C927C78"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69C3E3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69E7A67"/>
    <w:multiLevelType w:val="singleLevel"/>
    <w:tmpl w:val="5DF047E4"/>
    <w:lvl w:ilvl="0">
      <w:start w:val="14"/>
      <w:numFmt w:val="decimal"/>
      <w:lvlText w:val="%1."/>
      <w:lvlJc w:val="left"/>
      <w:pPr>
        <w:tabs>
          <w:tab w:val="num" w:pos="540"/>
        </w:tabs>
        <w:ind w:left="540" w:hanging="456"/>
      </w:pPr>
      <w:rPr>
        <w:rFonts w:hint="default"/>
      </w:rPr>
    </w:lvl>
  </w:abstractNum>
  <w:abstractNum w:abstractNumId="18" w15:restartNumberingAfterBreak="0">
    <w:nsid w:val="3BFB5ED7"/>
    <w:multiLevelType w:val="singleLevel"/>
    <w:tmpl w:val="1C5090A4"/>
    <w:lvl w:ilvl="0">
      <w:numFmt w:val="bullet"/>
      <w:lvlText w:val="-"/>
      <w:lvlJc w:val="left"/>
      <w:pPr>
        <w:tabs>
          <w:tab w:val="num" w:pos="360"/>
        </w:tabs>
        <w:ind w:left="340" w:hanging="340"/>
      </w:pPr>
      <w:rPr>
        <w:rFonts w:hint="default"/>
      </w:rPr>
    </w:lvl>
  </w:abstractNum>
  <w:abstractNum w:abstractNumId="19" w15:restartNumberingAfterBreak="0">
    <w:nsid w:val="426139FE"/>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0" w15:restartNumberingAfterBreak="0">
    <w:nsid w:val="434A25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F220AA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29A11F6"/>
    <w:multiLevelType w:val="singleLevel"/>
    <w:tmpl w:val="9D7C4A7C"/>
    <w:lvl w:ilvl="0">
      <w:start w:val="1"/>
      <w:numFmt w:val="decimal"/>
      <w:lvlText w:val="%1."/>
      <w:lvlJc w:val="left"/>
      <w:pPr>
        <w:tabs>
          <w:tab w:val="num" w:pos="552"/>
        </w:tabs>
        <w:ind w:left="552" w:hanging="360"/>
      </w:pPr>
      <w:rPr>
        <w:rFonts w:hint="default"/>
      </w:rPr>
    </w:lvl>
  </w:abstractNum>
  <w:abstractNum w:abstractNumId="23" w15:restartNumberingAfterBreak="0">
    <w:nsid w:val="5579538E"/>
    <w:multiLevelType w:val="singleLevel"/>
    <w:tmpl w:val="5DF047E4"/>
    <w:lvl w:ilvl="0">
      <w:start w:val="16"/>
      <w:numFmt w:val="decimal"/>
      <w:lvlText w:val="%1."/>
      <w:lvlJc w:val="left"/>
      <w:pPr>
        <w:tabs>
          <w:tab w:val="num" w:pos="540"/>
        </w:tabs>
        <w:ind w:left="540" w:hanging="456"/>
      </w:pPr>
      <w:rPr>
        <w:rFonts w:hint="default"/>
      </w:rPr>
    </w:lvl>
  </w:abstractNum>
  <w:abstractNum w:abstractNumId="24" w15:restartNumberingAfterBreak="0">
    <w:nsid w:val="568B6C2F"/>
    <w:multiLevelType w:val="singleLevel"/>
    <w:tmpl w:val="20DE4446"/>
    <w:lvl w:ilvl="0">
      <w:start w:val="1"/>
      <w:numFmt w:val="decimal"/>
      <w:lvlText w:val="%1"/>
      <w:lvlJc w:val="left"/>
      <w:pPr>
        <w:tabs>
          <w:tab w:val="num" w:pos="360"/>
        </w:tabs>
        <w:ind w:left="340" w:hanging="340"/>
      </w:pPr>
      <w:rPr>
        <w:b w:val="0"/>
        <w:i w:val="0"/>
      </w:rPr>
    </w:lvl>
  </w:abstractNum>
  <w:abstractNum w:abstractNumId="25" w15:restartNumberingAfterBreak="0">
    <w:nsid w:val="65C63761"/>
    <w:multiLevelType w:val="singleLevel"/>
    <w:tmpl w:val="62420584"/>
    <w:lvl w:ilvl="0">
      <w:start w:val="10"/>
      <w:numFmt w:val="decimal"/>
      <w:lvlText w:val="%1."/>
      <w:lvlJc w:val="left"/>
      <w:pPr>
        <w:tabs>
          <w:tab w:val="num" w:pos="360"/>
        </w:tabs>
        <w:ind w:left="360" w:hanging="360"/>
      </w:pPr>
      <w:rPr>
        <w:rFonts w:hint="default"/>
      </w:rPr>
    </w:lvl>
  </w:abstractNum>
  <w:abstractNum w:abstractNumId="26" w15:restartNumberingAfterBreak="0">
    <w:nsid w:val="71BB6F1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27" w15:restartNumberingAfterBreak="0">
    <w:nsid w:val="73513F0B"/>
    <w:multiLevelType w:val="singleLevel"/>
    <w:tmpl w:val="0809000F"/>
    <w:lvl w:ilvl="0">
      <w:start w:val="1"/>
      <w:numFmt w:val="decimal"/>
      <w:lvlText w:val="%1."/>
      <w:lvlJc w:val="left"/>
      <w:pPr>
        <w:tabs>
          <w:tab w:val="num" w:pos="360"/>
        </w:tabs>
        <w:ind w:left="360" w:hanging="360"/>
      </w:pPr>
    </w:lvl>
  </w:abstractNum>
  <w:abstractNum w:abstractNumId="28" w15:restartNumberingAfterBreak="0">
    <w:nsid w:val="7548171D"/>
    <w:multiLevelType w:val="hybridMultilevel"/>
    <w:tmpl w:val="CD467E96"/>
    <w:lvl w:ilvl="0" w:tplc="7A72E300">
      <w:start w:val="1"/>
      <w:numFmt w:val="bullet"/>
      <w:lvlText w:val=""/>
      <w:lvlJc w:val="left"/>
      <w:pPr>
        <w:tabs>
          <w:tab w:val="num" w:pos="720"/>
        </w:tabs>
        <w:ind w:left="720" w:hanging="360"/>
      </w:pPr>
      <w:rPr>
        <w:rFonts w:ascii="Symbol" w:hAnsi="Symbol" w:hint="default"/>
      </w:rPr>
    </w:lvl>
    <w:lvl w:ilvl="1" w:tplc="3C54E65E" w:tentative="1">
      <w:start w:val="1"/>
      <w:numFmt w:val="bullet"/>
      <w:lvlText w:val="o"/>
      <w:lvlJc w:val="left"/>
      <w:pPr>
        <w:tabs>
          <w:tab w:val="num" w:pos="1440"/>
        </w:tabs>
        <w:ind w:left="1440" w:hanging="360"/>
      </w:pPr>
      <w:rPr>
        <w:rFonts w:ascii="Courier New" w:hAnsi="Courier New" w:cs="Courier New" w:hint="default"/>
      </w:rPr>
    </w:lvl>
    <w:lvl w:ilvl="2" w:tplc="2282622A" w:tentative="1">
      <w:start w:val="1"/>
      <w:numFmt w:val="bullet"/>
      <w:lvlText w:val=""/>
      <w:lvlJc w:val="left"/>
      <w:pPr>
        <w:tabs>
          <w:tab w:val="num" w:pos="2160"/>
        </w:tabs>
        <w:ind w:left="2160" w:hanging="360"/>
      </w:pPr>
      <w:rPr>
        <w:rFonts w:ascii="Wingdings" w:hAnsi="Wingdings" w:hint="default"/>
      </w:rPr>
    </w:lvl>
    <w:lvl w:ilvl="3" w:tplc="590460FE" w:tentative="1">
      <w:start w:val="1"/>
      <w:numFmt w:val="bullet"/>
      <w:lvlText w:val=""/>
      <w:lvlJc w:val="left"/>
      <w:pPr>
        <w:tabs>
          <w:tab w:val="num" w:pos="2880"/>
        </w:tabs>
        <w:ind w:left="2880" w:hanging="360"/>
      </w:pPr>
      <w:rPr>
        <w:rFonts w:ascii="Symbol" w:hAnsi="Symbol" w:hint="default"/>
      </w:rPr>
    </w:lvl>
    <w:lvl w:ilvl="4" w:tplc="8BE2CF00" w:tentative="1">
      <w:start w:val="1"/>
      <w:numFmt w:val="bullet"/>
      <w:lvlText w:val="o"/>
      <w:lvlJc w:val="left"/>
      <w:pPr>
        <w:tabs>
          <w:tab w:val="num" w:pos="3600"/>
        </w:tabs>
        <w:ind w:left="3600" w:hanging="360"/>
      </w:pPr>
      <w:rPr>
        <w:rFonts w:ascii="Courier New" w:hAnsi="Courier New" w:cs="Courier New" w:hint="default"/>
      </w:rPr>
    </w:lvl>
    <w:lvl w:ilvl="5" w:tplc="F2123392" w:tentative="1">
      <w:start w:val="1"/>
      <w:numFmt w:val="bullet"/>
      <w:lvlText w:val=""/>
      <w:lvlJc w:val="left"/>
      <w:pPr>
        <w:tabs>
          <w:tab w:val="num" w:pos="4320"/>
        </w:tabs>
        <w:ind w:left="4320" w:hanging="360"/>
      </w:pPr>
      <w:rPr>
        <w:rFonts w:ascii="Wingdings" w:hAnsi="Wingdings" w:hint="default"/>
      </w:rPr>
    </w:lvl>
    <w:lvl w:ilvl="6" w:tplc="BD6460A0" w:tentative="1">
      <w:start w:val="1"/>
      <w:numFmt w:val="bullet"/>
      <w:lvlText w:val=""/>
      <w:lvlJc w:val="left"/>
      <w:pPr>
        <w:tabs>
          <w:tab w:val="num" w:pos="5040"/>
        </w:tabs>
        <w:ind w:left="5040" w:hanging="360"/>
      </w:pPr>
      <w:rPr>
        <w:rFonts w:ascii="Symbol" w:hAnsi="Symbol" w:hint="default"/>
      </w:rPr>
    </w:lvl>
    <w:lvl w:ilvl="7" w:tplc="2DC8C756" w:tentative="1">
      <w:start w:val="1"/>
      <w:numFmt w:val="bullet"/>
      <w:lvlText w:val="o"/>
      <w:lvlJc w:val="left"/>
      <w:pPr>
        <w:tabs>
          <w:tab w:val="num" w:pos="5760"/>
        </w:tabs>
        <w:ind w:left="5760" w:hanging="360"/>
      </w:pPr>
      <w:rPr>
        <w:rFonts w:ascii="Courier New" w:hAnsi="Courier New" w:cs="Courier New" w:hint="default"/>
      </w:rPr>
    </w:lvl>
    <w:lvl w:ilvl="8" w:tplc="C3A40F78"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20A6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75965E9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5C42A00"/>
    <w:multiLevelType w:val="singleLevel"/>
    <w:tmpl w:val="0809000B"/>
    <w:lvl w:ilvl="0">
      <w:start w:val="1"/>
      <w:numFmt w:val="bullet"/>
      <w:lvlText w:val=""/>
      <w:lvlJc w:val="left"/>
      <w:pPr>
        <w:tabs>
          <w:tab w:val="num" w:pos="360"/>
        </w:tabs>
        <w:ind w:left="360" w:hanging="360"/>
      </w:pPr>
      <w:rPr>
        <w:rFonts w:ascii="Wingdings" w:hAnsi="Wingdings" w:hint="default"/>
      </w:rPr>
    </w:lvl>
  </w:abstractNum>
  <w:abstractNum w:abstractNumId="32" w15:restartNumberingAfterBreak="0">
    <w:nsid w:val="7C2440B4"/>
    <w:multiLevelType w:val="singleLevel"/>
    <w:tmpl w:val="5D9C7FFE"/>
    <w:lvl w:ilvl="0">
      <w:start w:val="1"/>
      <w:numFmt w:val="bullet"/>
      <w:lvlText w:val=""/>
      <w:lvlJc w:val="left"/>
      <w:pPr>
        <w:tabs>
          <w:tab w:val="num" w:pos="360"/>
        </w:tabs>
        <w:ind w:left="340" w:hanging="340"/>
      </w:pPr>
      <w:rPr>
        <w:rFonts w:ascii="Symbol" w:hAnsi="Symbol" w:hint="default"/>
      </w:rPr>
    </w:lvl>
  </w:abstractNum>
  <w:abstractNum w:abstractNumId="33" w15:restartNumberingAfterBreak="0">
    <w:nsid w:val="7E183CBB"/>
    <w:multiLevelType w:val="singleLevel"/>
    <w:tmpl w:val="0809000B"/>
    <w:lvl w:ilvl="0">
      <w:start w:val="1"/>
      <w:numFmt w:val="bullet"/>
      <w:lvlText w:val=""/>
      <w:lvlJc w:val="left"/>
      <w:pPr>
        <w:tabs>
          <w:tab w:val="num" w:pos="360"/>
        </w:tabs>
        <w:ind w:left="360" w:hanging="360"/>
      </w:pPr>
      <w:rPr>
        <w:rFonts w:ascii="Wingdings" w:hAnsi="Wingdings" w:hint="default"/>
      </w:rPr>
    </w:lvl>
  </w:abstractNum>
  <w:num w:numId="1">
    <w:abstractNumId w:val="6"/>
  </w:num>
  <w:num w:numId="2">
    <w:abstractNumId w:val="16"/>
  </w:num>
  <w:num w:numId="3">
    <w:abstractNumId w:val="1"/>
  </w:num>
  <w:num w:numId="4">
    <w:abstractNumId w:val="27"/>
  </w:num>
  <w:num w:numId="5">
    <w:abstractNumId w:val="22"/>
  </w:num>
  <w:num w:numId="6">
    <w:abstractNumId w:val="25"/>
  </w:num>
  <w:num w:numId="7">
    <w:abstractNumId w:val="23"/>
  </w:num>
  <w:num w:numId="8">
    <w:abstractNumId w:val="17"/>
  </w:num>
  <w:num w:numId="9">
    <w:abstractNumId w:val="10"/>
  </w:num>
  <w:num w:numId="10">
    <w:abstractNumId w:val="31"/>
  </w:num>
  <w:num w:numId="11">
    <w:abstractNumId w:val="26"/>
  </w:num>
  <w:num w:numId="12">
    <w:abstractNumId w:val="33"/>
  </w:num>
  <w:num w:numId="13">
    <w:abstractNumId w:val="4"/>
  </w:num>
  <w:num w:numId="14">
    <w:abstractNumId w:val="19"/>
  </w:num>
  <w:num w:numId="15">
    <w:abstractNumId w:val="2"/>
  </w:num>
  <w:num w:numId="16">
    <w:abstractNumId w:val="32"/>
  </w:num>
  <w:num w:numId="17">
    <w:abstractNumId w:val="9"/>
  </w:num>
  <w:num w:numId="18">
    <w:abstractNumId w:val="7"/>
  </w:num>
  <w:num w:numId="19">
    <w:abstractNumId w:val="18"/>
  </w:num>
  <w:num w:numId="20">
    <w:abstractNumId w:val="30"/>
  </w:num>
  <w:num w:numId="21">
    <w:abstractNumId w:val="0"/>
  </w:num>
  <w:num w:numId="22">
    <w:abstractNumId w:val="13"/>
  </w:num>
  <w:num w:numId="23">
    <w:abstractNumId w:val="24"/>
  </w:num>
  <w:num w:numId="24">
    <w:abstractNumId w:val="5"/>
  </w:num>
  <w:num w:numId="25">
    <w:abstractNumId w:val="21"/>
  </w:num>
  <w:num w:numId="26">
    <w:abstractNumId w:val="12"/>
  </w:num>
  <w:num w:numId="27">
    <w:abstractNumId w:val="29"/>
  </w:num>
  <w:num w:numId="28">
    <w:abstractNumId w:val="3"/>
  </w:num>
  <w:num w:numId="29">
    <w:abstractNumId w:val="20"/>
  </w:num>
  <w:num w:numId="30">
    <w:abstractNumId w:val="15"/>
  </w:num>
  <w:num w:numId="31">
    <w:abstractNumId w:val="28"/>
  </w:num>
  <w:num w:numId="32">
    <w:abstractNumId w:val="14"/>
  </w:num>
  <w:num w:numId="33">
    <w:abstractNumId w:val="11"/>
  </w:num>
  <w:num w:numId="3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509"/>
    <w:rsid w:val="00040F56"/>
    <w:rsid w:val="00082AF5"/>
    <w:rsid w:val="000970BB"/>
    <w:rsid w:val="0009748E"/>
    <w:rsid w:val="001E3933"/>
    <w:rsid w:val="00256A1B"/>
    <w:rsid w:val="0029008C"/>
    <w:rsid w:val="00372D94"/>
    <w:rsid w:val="003C03C5"/>
    <w:rsid w:val="00424695"/>
    <w:rsid w:val="0046276F"/>
    <w:rsid w:val="00470202"/>
    <w:rsid w:val="00475CFB"/>
    <w:rsid w:val="004B1407"/>
    <w:rsid w:val="004F7E13"/>
    <w:rsid w:val="005275E4"/>
    <w:rsid w:val="0054397A"/>
    <w:rsid w:val="00564E8F"/>
    <w:rsid w:val="005741B4"/>
    <w:rsid w:val="005819FA"/>
    <w:rsid w:val="005D129F"/>
    <w:rsid w:val="006120FE"/>
    <w:rsid w:val="00612F76"/>
    <w:rsid w:val="006A2D0C"/>
    <w:rsid w:val="006F662B"/>
    <w:rsid w:val="00724516"/>
    <w:rsid w:val="00740AAB"/>
    <w:rsid w:val="007722AA"/>
    <w:rsid w:val="00780CC4"/>
    <w:rsid w:val="007E52B6"/>
    <w:rsid w:val="00835F95"/>
    <w:rsid w:val="008A4886"/>
    <w:rsid w:val="008F5DC2"/>
    <w:rsid w:val="00940509"/>
    <w:rsid w:val="009810B8"/>
    <w:rsid w:val="00983C38"/>
    <w:rsid w:val="009F7332"/>
    <w:rsid w:val="00A46544"/>
    <w:rsid w:val="00A5125F"/>
    <w:rsid w:val="00A56232"/>
    <w:rsid w:val="00A9329C"/>
    <w:rsid w:val="00AD6B66"/>
    <w:rsid w:val="00B7459F"/>
    <w:rsid w:val="00B77271"/>
    <w:rsid w:val="00B939D7"/>
    <w:rsid w:val="00BA465A"/>
    <w:rsid w:val="00BA6026"/>
    <w:rsid w:val="00BB0E94"/>
    <w:rsid w:val="00BE7E14"/>
    <w:rsid w:val="00C16DD8"/>
    <w:rsid w:val="00C37E82"/>
    <w:rsid w:val="00C43CE1"/>
    <w:rsid w:val="00C50571"/>
    <w:rsid w:val="00C906BD"/>
    <w:rsid w:val="00C9776E"/>
    <w:rsid w:val="00D0456F"/>
    <w:rsid w:val="00D56E44"/>
    <w:rsid w:val="00D72C4E"/>
    <w:rsid w:val="00D72DA7"/>
    <w:rsid w:val="00DD5E3F"/>
    <w:rsid w:val="00DD6795"/>
    <w:rsid w:val="00E461F6"/>
    <w:rsid w:val="00E6316D"/>
    <w:rsid w:val="00E925C6"/>
    <w:rsid w:val="00F65AC9"/>
    <w:rsid w:val="00F805A6"/>
    <w:rsid w:val="00FB30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E8FA621"/>
  <w15:docId w15:val="{03A8A6CD-1134-49F7-BD4F-38055CBB3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HelvLight" w:hAnsi="HelvLight"/>
    </w:rPr>
  </w:style>
  <w:style w:type="paragraph" w:styleId="Heading1">
    <w:name w:val="heading 1"/>
    <w:basedOn w:val="Normal"/>
    <w:next w:val="Normal"/>
    <w:qFormat/>
    <w:pPr>
      <w:keepNext/>
      <w:spacing w:before="240" w:after="60"/>
      <w:outlineLvl w:val="0"/>
    </w:pPr>
    <w:rPr>
      <w:b/>
      <w:kern w:val="28"/>
      <w:sz w:val="28"/>
    </w:rPr>
  </w:style>
  <w:style w:type="paragraph" w:styleId="Heading2">
    <w:name w:val="heading 2"/>
    <w:basedOn w:val="Normal"/>
    <w:next w:val="Normal"/>
    <w:qFormat/>
    <w:pPr>
      <w:keepNext/>
      <w:spacing w:before="240" w:after="60"/>
      <w:outlineLvl w:val="1"/>
    </w:pPr>
    <w:rPr>
      <w:b/>
      <w:i/>
      <w:sz w:val="24"/>
    </w:rPr>
  </w:style>
  <w:style w:type="paragraph" w:styleId="Heading3">
    <w:name w:val="heading 3"/>
    <w:basedOn w:val="Normal"/>
    <w:next w:val="Normal"/>
    <w:qFormat/>
    <w:pPr>
      <w:keepNext/>
      <w:spacing w:before="240" w:after="60"/>
      <w:outlineLvl w:val="2"/>
    </w:pPr>
    <w:rPr>
      <w:sz w:val="24"/>
    </w:rPr>
  </w:style>
  <w:style w:type="paragraph" w:styleId="Heading4">
    <w:name w:val="heading 4"/>
    <w:basedOn w:val="Normal"/>
    <w:next w:val="Normal"/>
    <w:qFormat/>
    <w:pPr>
      <w:keepNext/>
      <w:spacing w:after="120"/>
      <w:jc w:val="both"/>
      <w:outlineLvl w:val="3"/>
    </w:pPr>
    <w:rPr>
      <w:i/>
    </w:rPr>
  </w:style>
  <w:style w:type="paragraph" w:styleId="Heading5">
    <w:name w:val="heading 5"/>
    <w:basedOn w:val="Normal"/>
    <w:next w:val="Normal"/>
    <w:qFormat/>
    <w:pPr>
      <w:keepNext/>
      <w:spacing w:after="120"/>
      <w:jc w:val="both"/>
      <w:outlineLvl w:val="4"/>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trachead1">
    <w:name w:val="mtrac head 1"/>
    <w:basedOn w:val="Heading1"/>
    <w:pPr>
      <w:spacing w:before="0" w:after="0"/>
      <w:jc w:val="both"/>
    </w:pPr>
    <w:rPr>
      <w:snapToGrid w:val="0"/>
      <w:kern w:val="0"/>
      <w:sz w:val="24"/>
      <w:u w:val="single"/>
      <w:lang w:eastAsia="en-US"/>
    </w:rPr>
  </w:style>
  <w:style w:type="paragraph" w:customStyle="1" w:styleId="mtrachead2">
    <w:name w:val="mtrac head 2"/>
    <w:basedOn w:val="Heading2"/>
    <w:pPr>
      <w:numPr>
        <w:ilvl w:val="12"/>
      </w:numPr>
      <w:spacing w:before="0" w:after="0"/>
      <w:jc w:val="both"/>
    </w:pPr>
    <w:rPr>
      <w:i w:val="0"/>
      <w:snapToGrid w:val="0"/>
      <w:lang w:eastAsia="en-US"/>
    </w:rPr>
  </w:style>
  <w:style w:type="paragraph" w:customStyle="1" w:styleId="mtrachead3">
    <w:name w:val="mtrac head 3"/>
    <w:basedOn w:val="Heading3"/>
    <w:pPr>
      <w:spacing w:before="0" w:after="0"/>
    </w:pPr>
    <w:rPr>
      <w:b/>
      <w:snapToGrid w:val="0"/>
      <w:sz w:val="20"/>
      <w:lang w:eastAsia="en-US"/>
    </w:rPr>
  </w:style>
  <w:style w:type="paragraph" w:customStyle="1" w:styleId="mtrachead4">
    <w:name w:val="mtrac head 4"/>
    <w:basedOn w:val="Footer"/>
    <w:pPr>
      <w:tabs>
        <w:tab w:val="clear" w:pos="4153"/>
        <w:tab w:val="clear" w:pos="8306"/>
      </w:tabs>
      <w:jc w:val="both"/>
    </w:pPr>
    <w:rPr>
      <w:b/>
      <w:i/>
      <w:snapToGrid w:val="0"/>
      <w:lang w:eastAsia="en-US"/>
    </w:rPr>
  </w:style>
  <w:style w:type="paragraph" w:styleId="Footer">
    <w:name w:val="footer"/>
    <w:basedOn w:val="Normal"/>
    <w:semiHidden/>
    <w:pPr>
      <w:tabs>
        <w:tab w:val="center" w:pos="4153"/>
        <w:tab w:val="right" w:pos="8306"/>
      </w:tabs>
    </w:pPr>
  </w:style>
  <w:style w:type="paragraph" w:customStyle="1" w:styleId="mtrachead5">
    <w:name w:val="mtrac head 5"/>
    <w:basedOn w:val="Footer"/>
    <w:pPr>
      <w:numPr>
        <w:ilvl w:val="12"/>
      </w:numPr>
      <w:tabs>
        <w:tab w:val="clear" w:pos="4153"/>
        <w:tab w:val="clear" w:pos="8306"/>
      </w:tabs>
      <w:jc w:val="both"/>
    </w:pPr>
    <w:rPr>
      <w:snapToGrid w:val="0"/>
      <w:lang w:eastAsia="en-US"/>
    </w:rPr>
  </w:style>
  <w:style w:type="paragraph" w:customStyle="1" w:styleId="mtrachead6">
    <w:name w:val="mtrac head 6"/>
    <w:basedOn w:val="Normal"/>
    <w:rPr>
      <w:i/>
      <w:snapToGrid w:val="0"/>
      <w:spacing w:val="-3"/>
      <w:lang w:eastAsia="en-US"/>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2">
    <w:name w:val="Body Text 2"/>
    <w:basedOn w:val="Normal"/>
    <w:semiHidden/>
    <w:pPr>
      <w:jc w:val="both"/>
    </w:pPr>
  </w:style>
  <w:style w:type="paragraph" w:styleId="Header">
    <w:name w:val="header"/>
    <w:basedOn w:val="Normal"/>
    <w:semiHidden/>
    <w:pPr>
      <w:tabs>
        <w:tab w:val="center" w:pos="4153"/>
        <w:tab w:val="right" w:pos="8306"/>
      </w:tabs>
    </w:pPr>
  </w:style>
  <w:style w:type="paragraph" w:styleId="BodyText">
    <w:name w:val="Body Text"/>
    <w:basedOn w:val="Normal"/>
    <w:semiHidden/>
    <w:pPr>
      <w:jc w:val="both"/>
    </w:pPr>
    <w:rPr>
      <w:i/>
    </w:rPr>
  </w:style>
  <w:style w:type="paragraph" w:styleId="BodyText3">
    <w:name w:val="Body Text 3"/>
    <w:basedOn w:val="Normal"/>
    <w:semiHidden/>
    <w:pPr>
      <w:tabs>
        <w:tab w:val="left" w:pos="-720"/>
        <w:tab w:val="right" w:pos="8505"/>
      </w:tabs>
      <w:suppressAutoHyphens/>
      <w:spacing w:after="120"/>
      <w:ind w:right="29"/>
      <w:jc w:val="both"/>
    </w:pPr>
    <w:rPr>
      <w:rFonts w:ascii="Helvetica" w:hAnsi="Helvetica"/>
    </w:rPr>
  </w:style>
  <w:style w:type="paragraph" w:styleId="BalloonText">
    <w:name w:val="Balloon Text"/>
    <w:basedOn w:val="Normal"/>
    <w:semiHidden/>
    <w:rPr>
      <w:rFonts w:ascii="Tahoma" w:hAnsi="Tahoma" w:cs="Wingdings"/>
      <w:sz w:val="16"/>
      <w:szCs w:val="16"/>
    </w:rPr>
  </w:style>
  <w:style w:type="character" w:styleId="Hyperlink">
    <w:name w:val="Hyperlink"/>
    <w:uiPriority w:val="99"/>
    <w:unhideWhenUsed/>
    <w:rsid w:val="00FB303B"/>
    <w:rPr>
      <w:color w:val="0000FF"/>
      <w:u w:val="single"/>
    </w:rPr>
  </w:style>
  <w:style w:type="paragraph" w:styleId="ListParagraph">
    <w:name w:val="List Paragraph"/>
    <w:basedOn w:val="Normal"/>
    <w:uiPriority w:val="34"/>
    <w:qFormat/>
    <w:rsid w:val="00FB303B"/>
    <w:pPr>
      <w:ind w:left="720"/>
      <w:contextualSpacing/>
    </w:pPr>
  </w:style>
  <w:style w:type="character" w:styleId="FollowedHyperlink">
    <w:name w:val="FollowedHyperlink"/>
    <w:basedOn w:val="DefaultParagraphFont"/>
    <w:uiPriority w:val="99"/>
    <w:semiHidden/>
    <w:unhideWhenUsed/>
    <w:rsid w:val="00B7727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878425">
      <w:bodyDiv w:val="1"/>
      <w:marLeft w:val="0"/>
      <w:marRight w:val="0"/>
      <w:marTop w:val="0"/>
      <w:marBottom w:val="0"/>
      <w:divBdr>
        <w:top w:val="none" w:sz="0" w:space="0" w:color="auto"/>
        <w:left w:val="none" w:sz="0" w:space="0" w:color="auto"/>
        <w:bottom w:val="none" w:sz="0" w:space="0" w:color="auto"/>
        <w:right w:val="none" w:sz="0" w:space="0" w:color="auto"/>
      </w:divBdr>
    </w:div>
    <w:div w:id="1519736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wmsg.org/awmsgonline/docs/awmsg/medman/Prescribing%20of%20denosumab%20%28Prolia%29%20in%20Wales%20%28Review%29.pdf" TargetMode="External"/><Relationship Id="rId13" Type="http://schemas.openxmlformats.org/officeDocument/2006/relationships/hyperlink" Target="https://www.gov.uk/drug-safety-update/denosumab-monitoring-recommended"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ks.nice.org.uk/cellulitis-acut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v.uk/drug-safety-update/denosumab-prolia-xgeva-reports-of-osteonecrosis-of-the-external-auditory-cana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edicines.org.uk/emc/medicine/23127/SPC/Prolia/" TargetMode="External"/><Relationship Id="rId5" Type="http://schemas.openxmlformats.org/officeDocument/2006/relationships/webSettings" Target="webSettings.xml"/><Relationship Id="rId15" Type="http://schemas.openxmlformats.org/officeDocument/2006/relationships/hyperlink" Target="https://www.gov.uk/drug-safety-update/denosumab-60-mg-prolia" TargetMode="External"/><Relationship Id="rId10" Type="http://schemas.openxmlformats.org/officeDocument/2006/relationships/hyperlink" Target="http://publications.nice.org.uk/denosumab-for-the-prevention-of-osteoporotic-fractures-in-postmenopausal-women-ta204"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ice.org.uk/guidance/cg146" TargetMode="External"/><Relationship Id="rId14" Type="http://schemas.openxmlformats.org/officeDocument/2006/relationships/hyperlink" Target="https://www.gov.uk/drug-safety-update/denosumab-xgeva-prolia-intravenous-bisphosphonates-osteonecrosis-of-the-jaw-further-measures-to-minimise-ris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emplate%20ESCA%20(oct%2002%20onward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96C3E6-C7EB-4346-9FB1-1B00504FD1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ESCA (oct 02 onwards)</Template>
  <TotalTime>216</TotalTime>
  <Pages>2</Pages>
  <Words>1372</Words>
  <Characters>7822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TOBRAMYCIN NEBULISER SOLUTION</vt:lpstr>
    </vt:vector>
  </TitlesOfParts>
  <Company>Dept. Medicines Management</Company>
  <LinksUpToDate>false</LinksUpToDate>
  <CharactersWithSpaces>9176</CharactersWithSpaces>
  <SharedDoc>false</SharedDoc>
  <HLinks>
    <vt:vector size="30" baseType="variant">
      <vt:variant>
        <vt:i4>2424865</vt:i4>
      </vt:variant>
      <vt:variant>
        <vt:i4>12</vt:i4>
      </vt:variant>
      <vt:variant>
        <vt:i4>0</vt:i4>
      </vt:variant>
      <vt:variant>
        <vt:i4>5</vt:i4>
      </vt:variant>
      <vt:variant>
        <vt:lpwstr>http://www.mhra.gov.uk/Safetyinformation/DrugSafetyUpdate/CON239411</vt:lpwstr>
      </vt:variant>
      <vt:variant>
        <vt:lpwstr/>
      </vt:variant>
      <vt:variant>
        <vt:i4>2162730</vt:i4>
      </vt:variant>
      <vt:variant>
        <vt:i4>9</vt:i4>
      </vt:variant>
      <vt:variant>
        <vt:i4>0</vt:i4>
      </vt:variant>
      <vt:variant>
        <vt:i4>5</vt:i4>
      </vt:variant>
      <vt:variant>
        <vt:lpwstr>http://www.mhra.gov.uk/Safetyinformation/DrugSafetyUpdate/CON199560</vt:lpwstr>
      </vt:variant>
      <vt:variant>
        <vt:lpwstr/>
      </vt:variant>
      <vt:variant>
        <vt:i4>7274596</vt:i4>
      </vt:variant>
      <vt:variant>
        <vt:i4>6</vt:i4>
      </vt:variant>
      <vt:variant>
        <vt:i4>0</vt:i4>
      </vt:variant>
      <vt:variant>
        <vt:i4>5</vt:i4>
      </vt:variant>
      <vt:variant>
        <vt:lpwstr>http://cks.nice.org.uk/cellulitis-acute</vt:lpwstr>
      </vt:variant>
      <vt:variant>
        <vt:lpwstr/>
      </vt:variant>
      <vt:variant>
        <vt:i4>3211370</vt:i4>
      </vt:variant>
      <vt:variant>
        <vt:i4>3</vt:i4>
      </vt:variant>
      <vt:variant>
        <vt:i4>0</vt:i4>
      </vt:variant>
      <vt:variant>
        <vt:i4>5</vt:i4>
      </vt:variant>
      <vt:variant>
        <vt:lpwstr>http://www.medicines.org.uk/emc/medicine/23127/SPC/Prolia/</vt:lpwstr>
      </vt:variant>
      <vt:variant>
        <vt:lpwstr/>
      </vt:variant>
      <vt:variant>
        <vt:i4>65553</vt:i4>
      </vt:variant>
      <vt:variant>
        <vt:i4>0</vt:i4>
      </vt:variant>
      <vt:variant>
        <vt:i4>0</vt:i4>
      </vt:variant>
      <vt:variant>
        <vt:i4>5</vt:i4>
      </vt:variant>
      <vt:variant>
        <vt:lpwstr>http://publications.nice.org.uk/denosumab-for-the-prevention-of-osteoporotic-fractures-in-postmenopausal-women-ta204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TOBRAMYCIN NEBULISER SOLUTION</dc:title>
  <dc:subject/>
  <dc:creator>Claire Stevens</dc:creator>
  <cp:keywords/>
  <dc:description/>
  <cp:lastModifiedBy>Claire Stevens</cp:lastModifiedBy>
  <cp:revision>3</cp:revision>
  <cp:lastPrinted>2014-02-17T14:09:00Z</cp:lastPrinted>
  <dcterms:created xsi:type="dcterms:W3CDTF">2019-09-20T10:46:00Z</dcterms:created>
  <dcterms:modified xsi:type="dcterms:W3CDTF">2019-12-05T14:36:00Z</dcterms:modified>
</cp:coreProperties>
</file>